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SachenRBerG — Berechtigte und Verpflichtete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Durch die in diesem Kapitel begründeten Ansprüche werden der jeweilige Nutzer und Grundstückseigentümer berechtigt und verpflichtet. Kommen nach § 9 Abs. 1 Satz 1 mehrere Personen als Nutzer in Betracht, ist im Verhältnis zueinander derjenige Nutzer, der eine Bebauung nach § 12 vorgenommen hat.</w:t>
      </w:r>
    </w:p>
    <w:p>
      <w:r>
        <w:t xml:space="preserve">(2) Die begründeten Ansprüche können nur mit dem Eigentum am Grundstück oder dem selbständigen Eigentum am Gebäude, dem Nutzungsrecht, den Rechten des Nutzers aus einem Überlassungsvertrag oder dem Besitz an dem mit Billigung staatlicher Stellen vom Nutzer errichteten oder erworbenen Gebäude übertragen werden, es sei denn, daß die Abtretung zu dem Zweck erfolgt, Grundstücke entsprechend der Bebauung zu bilden und an diesen Erbbaurechte zu bestellen oder die Grundstücke an die Nutzer zu veräußern.</w:t>
      </w:r>
    </w:p>
    <w:p>
      <w:r>
        <w:t xml:space="preserve">(3) Ein Vertrag, aus dem ein Teil verpflichtet wird, die Ansprüche auf Bestellung eines Erbbaurechts oder zum Ankauf des Grundstücks oder eines Gebäudes oder einer baulichen Anlage zu übertragen, bedarf vom 1. Oktober 1994 an der notariellen Beurkundung. Ein ohne Beobachtung der Form geschlossener Vertrag wird seinem ganzen Inhalt nach gültig, wenn</w:t>
      </w:r>
    </w:p>
    <w:p>
      <w:pPr>
        <w:ind w:left="420"/>
      </w:pPr>
      <w:r>
        <w:t xml:space="preserve">1. der Erwerber als neuer Eigentümer des Grundstücks oder Gebäudes in das Grundbuch eingetragen wird,</w:t>
      </w:r>
    </w:p>
    <w:p>
      <w:pPr>
        <w:ind w:left="420"/>
      </w:pPr>
      <w:r>
        <w:t xml:space="preserve">2. ein die Rechte des Erwerbers sichernder Vermerk nach Artikel 233 § 2c Abs. 2 des Einführungsgesetzes zum Bürgerlichen Gesetzbuche oder nach § 92 Abs. 5 in das Grundbuch eingetragen wird oder</w:t>
      </w:r>
    </w:p>
    <w:p>
      <w:pPr>
        <w:ind w:left="420"/>
      </w:pPr>
      <w:r>
        <w:t xml:space="preserve">3. die in diesem Gesetz für den Grundstückseigentümer oder den Nutzer begründeten Ansprüche erfüllt worden sind.</w:t>
      </w:r>
    </w:p>
    <w:p>
      <w:r>
        <w:rPr>
          <w:color w:val="555555"/>
          <w:sz w:val="17"/>
        </w:rPr>
        <w:t xml:space="preserve">Zitiervorschlag: § 14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