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123 SachenRBerG — Härteklausel bei niedrigen Grundstückswerten</w:t>
      </w:r>
    </w:p>
    <w:p>
      <w:r>
        <w:rPr>
          <w:color w:val="555555"/>
          <w:sz w:val="18"/>
        </w:rPr>
        <w:t xml:space="preserve">Sachenrechtsbereinigungsgesetz</w:t>
      </w:r>
    </w:p>
    <w:p>
      <w:r>
        <w:rPr>
          <w:color w:val="555555"/>
          <w:sz w:val="18"/>
        </w:rPr>
        <w:t xml:space="preserve">Stand: 10.06.2019 (konsolidierte Textfassung, kein amtliches Inkrafttretensdatum)</w:t>
      </w:r>
    </w:p>
    <w:p>
      <w:r>
        <w:t xml:space="preserve">(1) Der Nutzer eines Grundstücks, dessen Verkehrswert die in § 15 Abs. 2 bezeichneten Beträge nicht übersteigt, kann einem Ankaufsverlangen des Grundstückseigentümers widersprechen und den Abschluß eines längstens auf sechs Jahre nach dem Inkrafttreten dieses Gesetzes befristeten Nutzungsvertrages verlangen, wenn er die für den Ankauf erforderlichen Mittel zum gegenwärtigen Zeitpunkt aus besonderen persönlichen oder wirtschaftlichen Gründen nicht aufzubringen vermag.</w:t>
      </w:r>
    </w:p>
    <w:p>
      <w:r>
        <w:t xml:space="preserve">(2) Das Entgelt für die Nutzung bestimmt sich nach dem Betrag, der nach diesem Gesetz als Erbbauzins zu zahlen wäre. Im übrigen bleiben die Rechte und Pflichten der Beteiligten für die Vertragsdauer unberührt.</w:t>
      </w:r>
    </w:p>
    <w:p>
      <w:r>
        <w:rPr>
          <w:color w:val="555555"/>
          <w:sz w:val="17"/>
        </w:rPr>
        <w:t xml:space="preserve">Zitiervorschlag: § 123 SachenRBerG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https://recht.nulegal.eu/gesetze/SachenRBerG/123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