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SachenRBerG — Bestellung einer Dienstbarkeit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Derjenige, der ein Grundstück in einzelnen Beziehungen nutzt oder auf diesem Grundstück eine Anlage unterhält (Mitbenutzer), kann von dem Eigentümer die Bestellung einer Grunddienstbarkeit oder einer beschränkten persönlichen Dienstbarkeit verlangen, wenn</w:t>
      </w:r>
    </w:p>
    <w:p>
      <w:pPr>
        <w:ind w:left="420"/>
      </w:pPr>
      <w:r>
        <w:t xml:space="preserve">1. die Nutzung vor Ablauf des 2. Oktober 1990 begründet wurde,</w:t>
      </w:r>
    </w:p>
    <w:p>
      <w:pPr>
        <w:ind w:left="420"/>
      </w:pPr>
      <w:r>
        <w:t xml:space="preserve">2. die Nutzung des Grundstücks für die Erschließung oder Entsorgung eines eigenen Grundstücks oder Bauwerks erforderlich ist und</w:t>
      </w:r>
    </w:p>
    <w:p>
      <w:pPr>
        <w:ind w:left="420"/>
      </w:pPr>
      <w:r>
        <w:t xml:space="preserve">3. ein Mitbenutzungsrecht nach den §§ 321 und 322 des Zivilgesetzbuchs der Deutschen Demokratischen Republik nicht begründet wurde.</w:t>
      </w:r>
    </w:p>
    <w:p>
      <w:r>
        <w:t xml:space="preserve">(2) Zugunsten derjenigen, die durch ein nach Ablauf des 31. Dezember 2000 abgeschlossenes Rechtsgeschäft gutgläubig Rechte an Grundstücken erwerben, ist § 111 entsprechend anzuwenden. Die Eintragung eines Vermerks über die Klageerhebung erfolgt entsprechend § 113 Abs. 3.</w:t>
      </w:r>
    </w:p>
    <w:p>
      <w:r>
        <w:rPr>
          <w:color w:val="555555"/>
          <w:sz w:val="17"/>
        </w:rPr>
        <w:t xml:space="preserve">Zitiervorschlag: § 116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