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SachenRBerG — Umwandlung alter Erbbaurechte</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War das Grundstück am 1. Januar 1976 mit einem Erbbaurecht belastet, so endet das Erbbaurecht zu dem im Erbbaurechtsvertrag bestimmten Zeitpunkt, frühestens jedoch am 31. Dezember 1995, wenn sich nicht aus dem folgenden etwas anderes ergibt. Das Erbbaurecht verlängert sich bis zum 31. Dezember 2005, wenn ein Wohngebäude aufgrund des Erbbaurechts errichtet worden ist, es sei denn, daß der Grundstückseigentümer ein berechtigtes Interesse an der Beendigung des Erbbaurechts entsprechend § 573 Abs. 2 Nr. 2 und 3 des Bürgerlichen Gesetzbuchs geltend machen kann.</w:t>
      </w:r>
    </w:p>
    <w:p>
      <w:r>
        <w:t xml:space="preserve">(2) Hat der Erbbauberechtigte nach dem 31. Dezember 1975 das Grundstück bebaut oder bauliche Maßnahmen nach § 12 Abs. 1 vorgenommen, so endet das Erbbaurecht mit dem Ablauf von</w:t>
      </w:r>
    </w:p>
    <w:p>
      <w:pPr>
        <w:ind w:left="420"/>
      </w:pPr>
      <w:r>
        <w:t xml:space="preserve">1. 90 Jahren, wenn</w:t>
      </w:r>
    </w:p>
    <w:p>
      <w:pPr>
        <w:ind w:left="780"/>
      </w:pPr>
      <w:r>
        <w:t xml:space="preserve">a) ein Ein- oder Zweifamilienhaus errichtet wurde oder</w:t>
      </w:r>
    </w:p>
    <w:p>
      <w:pPr>
        <w:ind w:left="780"/>
      </w:pPr>
      <w:r>
        <w:t xml:space="preserve">b) ein sozialen Zwecken dienendes Gebäude gebaut wurde,</w:t>
      </w:r>
    </w:p>
    <w:p>
      <w:pPr>
        <w:ind w:left="420"/>
      </w:pPr>
      <w:r>
        <w:t xml:space="preserve">2. 80 Jahren, wenn das Grundstück im staatlichen oder genossenschaftlichen Wohnungsbau bebaut wurde, oder</w:t>
      </w:r>
    </w:p>
    <w:p>
      <w:pPr>
        <w:ind w:left="420"/>
      </w:pPr>
      <w:r>
        <w:t xml:space="preserve">3. 50 Jahren in allen übrigen Fällen</w:t>
      </w:r>
    </w:p>
    <w:p>
      <w:r>
        <w:t xml:space="preserve">nach dem Inkrafttreten dieses Gesetzes. Ein Heimfallanspruch kann nur aus den in § 56 genannten Gründen ausgeübt werden. Die Verlängerung der Laufzeit des Erbbaurechts ist in das Grundbuch einzutragen. Der Grundstückseigentümer ist berechtigt, eine Anpassung des Erbbauzinses bis zu der sich aus den §§ 43, 45 bis 48 und 51 ergebenden Höhe zu verlangen.</w:t>
      </w:r>
    </w:p>
    <w:p>
      <w:r>
        <w:t xml:space="preserve">(3) Vorstehende Bestimmungen finden keine Anwendung, wenn das Erbbaurecht auf einem vormals volkseigenen Grundstück bestellt worden ist und bei Ablauf des 2. Oktober 1990 noch bestand. Auf diese Erbbaurechte finden die Bestimmungen dieses Gesetzes für verliehene Nutzungsrechte entsprechende Anwendung.</w:t>
      </w:r>
    </w:p>
    <w:p>
      <w:r>
        <w:t xml:space="preserve">(4) § 5 Abs. 2 des Einführungsgesetzes zum Zivilgesetzbuch der Deutschen Demokratischen Republik ist vom Inkrafttreten dieses Gesetzes an nicht mehr anzuwenden.</w:t>
      </w:r>
    </w:p>
    <w:p>
      <w:r>
        <w:rPr>
          <w:color w:val="555555"/>
          <w:sz w:val="17"/>
        </w:rPr>
        <w:t xml:space="preserve">Zitiervorschlag: § 112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