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108 SachenRBerG — Feststellung der Anspruchsberechtigung</w:t>
      </w:r>
    </w:p>
    <w:p>
      <w:r>
        <w:rPr>
          <w:color w:val="555555"/>
          <w:sz w:val="18"/>
        </w:rPr>
        <w:t xml:space="preserve">Sachenrechtsbereinigungsgesetz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Nutzer und Grundstückseigentümer können Klage auf Feststellung des Bestehens oder Nichtbestehens der Anspruchsberechtigung nach diesem Gesetz erheben, wenn der Kläger ein rechtliches Interesse an alsbaldiger Feststellung hat.</w:t>
      </w:r>
    </w:p>
    <w:p>
      <w:r>
        <w:t xml:space="preserve">(2) Ein Interesse an alsbaldiger Feststellung besteht nicht, wenn wegen der Anmeldung eines Rückübertragungsanspruchs aus § 3 des Vermögensgesetzes über das Grundstück, das Gebäude oder die bauliche Anlage noch nicht verfügt werden kann.</w:t>
      </w:r>
    </w:p>
    <w:p>
      <w:r>
        <w:t xml:space="preserve">(3) Nehmen mehrere Personen die Rechte als Nutzer für sich in Anspruch und ist in einem Rechtsstreit zwischen ihnen die Anspruchsberechtigung festzustellen, können beide Parteien dem Grundstückseigentümer den Streit verkünden.</w:t>
      </w:r>
    </w:p>
    <w:p>
      <w:r>
        <w:t xml:space="preserve">(4) § 106 Abs. 4 ist entsprechend anzuwenden.</w:t>
      </w:r>
    </w:p>
    <w:p>
      <w:r>
        <w:rPr>
          <w:color w:val="555555"/>
          <w:sz w:val="17"/>
        </w:rPr>
        <w:t xml:space="preserve">Zitiervorschlag: § 108 SachenRBerG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https://recht.nulegal.eu/gesetze/SachenRBerG/108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108 SachenRBerG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