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103 SachenRBerG — Allgemeine Vorschriften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Die gerichtlichen Verfahren, die die Bestellung von Erbbaurechten oder den Ankauf des Grundstücks oder des Gebäudes oder der baulichen Anlage betreffen, sind nach den Vorschriften der Zivilprozeßordnung zu erledigen. Ausschließlich zuständig ist das Gericht, in dessen Bezirk das Grundstück ganz oder zum größten Teil belegen ist.</w:t>
      </w:r>
    </w:p>
    <w:p>
      <w:r>
        <w:t xml:space="preserve">(2) Bei den Landgerichten können Kammern für die Verfahren zur Sachenrechtsbereinigung gebildet werden.</w:t>
      </w:r>
    </w:p>
    <w:p>
      <w:r>
        <w:rPr>
          <w:color w:val="555555"/>
          <w:sz w:val="17"/>
        </w:rPr>
        <w:t xml:space="preserve">Zitiervorschlag: § 103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103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