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101 SachenRBerG — Kostenpflicht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Kosten des Vermittlungsverfahrens haften Grundstückseigentümer und Nutzer als Gesamtschuldner. Sie haben die Kosten zu teilen. Eine Erstattung der den Beteiligten entstandenen Auslagen findet nicht statt.</w:t>
      </w:r>
    </w:p>
    <w:p>
      <w:r>
        <w:t xml:space="preserve">(2) Die für das notarielle Vermittlungsverfahren im Falle einer Einstellung nach § 95 entstandenen Kosten sind</w:t>
      </w:r>
    </w:p>
    <w:p>
      <w:pPr>
        <w:ind w:left="420"/>
      </w:pPr>
      <w:r>
        <w:t xml:space="preserve">1. in den Fällen des § 95 Abs. 1 Nr. 1 zwischen Eigentümer und Nutzer zu teilen,</w:t>
      </w:r>
    </w:p>
    <w:p>
      <w:pPr>
        <w:ind w:left="420"/>
      </w:pPr>
      <w:r>
        <w:t xml:space="preserve">2. in den Fällen des § 95 Abs. 1 Nr. 2 von dem Antragsteller zu tragen,</w:t>
      </w:r>
    </w:p>
    <w:p>
      <w:pPr>
        <w:ind w:left="420"/>
      </w:pPr>
      <w:r>
        <w:t xml:space="preserve">3. in den Fällen des § 95 Abs. 2 von dem Beteiligten zu tragen, der das Verfahren nach § 64 des Landwirtschaftsanpassungsgesetzes beantragt hat.</w:t>
      </w:r>
    </w:p>
    <w:p>
      <w:r>
        <w:rPr>
          <w:color w:val="555555"/>
          <w:sz w:val="17"/>
        </w:rPr>
        <w:t xml:space="preserve">Zitiervorschlag: § 101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101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