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100 SachenRBerG — Kosten</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Für das notarielle Vermittlungsverfahren erhält der Notar eine Gebühr mit einem Gebührensatz von 4,0 nach der Tabelle B des § 34 Absatz 2 des Gerichts- und Notarkostengesetzes. Die Gebühr ermäßigt sich auf</w:t>
      </w:r>
    </w:p>
    <w:p>
      <w:pPr>
        <w:ind w:left="420"/>
      </w:pPr>
      <w:r>
        <w:t xml:space="preserve">1. einen Gebührensatz von 2,0, wenn das Verfahren vor Ausarbeitung eines Vermittlungsvorschlags beendet wird,</w:t>
      </w:r>
    </w:p>
    <w:p>
      <w:pPr>
        <w:ind w:left="420"/>
      </w:pPr>
      <w:r>
        <w:t xml:space="preserve">2. einen Gebührensatz von 0,5, wenn sich das Verfahren vor dem Erörterungstermin erledigt.</w:t>
      </w:r>
    </w:p>
    <w:p>
      <w:r>
        <w:t xml:space="preserve">Als Auslagen des Verfahrens erhebt der Notar auch die durch Ermittlungen nach § 97 Abs. 1 entstandenen Kosten.</w:t>
      </w:r>
    </w:p>
    <w:p>
      <w:r>
        <w:t xml:space="preserve">(2) Die Gebühren nach Absatz 1 bestimmen sich nach dem Geschäftswert, der sich aus den folgenden Vorschriften ergibt. Maßgebend ist das Fünfundzwanzigfache des Jahreswertes des Erbbauzinses ohne Rücksicht auf die Zinsermäßigung in der Eingangsphase oder der Kaufpreis, in jedem Fall jedoch mindestens die Hälfte des nach den §§ 19 und 20 Abs. 1 und 6 ermittelten Wertes. Endet das Verfahren ohne eine Vermittlung, bestimmt sich die Gebühr nach dem in Satz 2 genannten Mindestwert.</w:t>
      </w:r>
    </w:p>
    <w:p>
      <w:r>
        <w:t xml:space="preserve">(3) Wird mit einem Dritten eine Vereinbarung über die Bestellung oder den Verzicht auf dingliche Rechte geschlossen, erhält der Notar für deren Vermittlung eine Gebühr mit einem Gebührensatz von 0,5 nach der Tabelle B des § 34 Absatz 2 des Gerichts- und Notarkostengesetzes. Der Wert richtet sich nach den Bestimmungen über den Geschäftswert im Gerichts- und Notarkostengesetz, in den Fällen der §§ 36 und 63 jedoch nicht über den Anteil hinaus, für den der Nutzer nach Maßgabe dieser Vorschriften mithaftet.</w:t>
      </w:r>
    </w:p>
    <w:p>
      <w:r>
        <w:rPr>
          <w:color w:val="555555"/>
          <w:sz w:val="17"/>
        </w:rPr>
        <w:t xml:space="preserve">Zitiervorschlag: § 100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https://recht.nulegal.eu/gesetze/SachenRBerG/100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100 SachenRBerG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