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SachenRBerG — Betroffene Rechtsverhältnisse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Rechtsverhältnisse an Grundstücken in dem in Artikel 3 des Einigungsvertrages genannten Gebiet (Beitrittsgebiet),</w:t>
      </w:r>
    </w:p>
    <w:p>
      <w:pPr>
        <w:ind w:left="780"/>
      </w:pPr>
      <w:r>
        <w:t xml:space="preserve">a) an denen Nutzungsrechte verliehen oder zugewiesen wurden,</w:t>
      </w:r>
    </w:p>
    <w:p>
      <w:pPr>
        <w:ind w:left="780"/>
      </w:pPr>
      <w:r>
        <w:t xml:space="preserve">b) auf denen vom Eigentum am Grundstück getrenntes selbständiges Eigentum an Gebäuden oder an baulichen Anlagen entstanden ist,</w:t>
      </w:r>
    </w:p>
    <w:p>
      <w:pPr>
        <w:ind w:left="780"/>
      </w:pPr>
      <w:r>
        <w:t xml:space="preserve">c) die mit Billigung staatlicher Stellen von einem anderen als dem Grundstückseigentümer für bauliche Zwecke in Anspruch genommen wurden oder</w:t>
      </w:r>
    </w:p>
    <w:p>
      <w:pPr>
        <w:ind w:left="780"/>
      </w:pPr>
      <w:r>
        <w:t xml:space="preserve">d) auf denen nach einem nicht mehr erfüllten Kaufvertrag ein vom Eigentum am Grundstück getrenntes selbständiges Eigentum am Gebäude oder an einer baulichen Anlage entstehen sollte,</w:t>
      </w:r>
    </w:p>
    <w:p>
      <w:pPr>
        <w:ind w:left="420"/>
      </w:pPr>
      <w:r>
        <w:t xml:space="preserve">2. die mit Erbbaurechten, deren Inhalt gemäß § 5 Abs. 2 des Einführungsgesetzes zum Zivilgesetzbuch der Deutschen Demokratischen Republik umgestaltet wurde, belastet sind,</w:t>
      </w:r>
    </w:p>
    <w:p>
      <w:pPr>
        <w:ind w:left="420"/>
      </w:pPr>
      <w:r>
        <w:t xml:space="preserve">3. an denen nach § 459 des Zivilgesetzbuchs der Deutschen Demokratischen Republik kraft Gesetzes ein Miteigentumsanteil besteht oder</w:t>
      </w:r>
    </w:p>
    <w:p>
      <w:pPr>
        <w:ind w:left="420"/>
      </w:pPr>
      <w:r>
        <w:t xml:space="preserve">4. auf denen andere natürliche oder juristische Personen als der Grundstückseigentümer bauliche Erschließungs-, Entsorgungs- oder Versorgungsanlagen, die nicht durch ein mit Zustimmung des Grundstückseigentümers begründetes Mitbenutzungsrecht gesichert sind, errichtet haben.</w:t>
      </w:r>
    </w:p>
    <w:p>
      <w:r>
        <w:t xml:space="preserve">(2) Ist das Eigentum an einem Grundstück dem Nutzer nach Maßgabe besonderer Gesetze zugewiesen worden oder zu übertragen, finden die Bestimmungen dieses Gesetzes keine Anwendung.</w:t>
      </w:r>
    </w:p>
    <w:p>
      <w:r>
        <w:t xml:space="preserve">(3) Die Übertragung des Eigentums an einem für den staatlichen oder genossenschaftlichen Wohnungsbau verwendeten Grundstück auf die Kommune erfolgt nach dem Einigungsvertrag und dem Vermögenszuordnungsgesetz und auf ein in § 9 Abs. 2 Nr. 2 genanntes Wohnungsunternehmen nach dem Wohnungsgenossenschafts-Vermögensgesetz, wenn das Eigentum am Grundstück</w:t>
      </w:r>
    </w:p>
    <w:p>
      <w:pPr>
        <w:ind w:left="420"/>
      </w:pPr>
      <w:r>
        <w:t xml:space="preserve">1. durch Inanspruchnahmeentscheidung nach dem Aufbaugesetz vom 6. September 1950 (GBl. Nr. 104 S. 965) und die zu seinem Vollzug erlassenen Vorschriften oder</w:t>
      </w:r>
    </w:p>
    <w:p>
      <w:pPr>
        <w:ind w:left="420"/>
      </w:pPr>
      <w:r>
        <w:t xml:space="preserve">2. durch bestandskräftigen Beschluß über den Entzug des Eigentumsrechts nach dem Baulandgesetz vom 15. Juni 1984 (GBl. I Nr. 17 S. 201) und die zu seinem Vollzug erlassenen Vorschriftenentzogen worden ist oder in sonstiger Weise Volkseigentum am Grundstück entstanden war. Grundbucheintragungen, die abweichende Eigentumsverhältnisse ausweisen, sind unbeachtlich.</w:t>
      </w:r>
    </w:p>
    <w:p>
      <w:r>
        <w:rPr>
          <w:color w:val="555555"/>
          <w:sz w:val="17"/>
        </w:rPr>
        <w:t xml:space="preserve">Zitiervorschlag: § 1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