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SachenR-DV</w:t>
      </w:r>
    </w:p>
    <w:p>
      <w:r>
        <w:rPr>
          <w:color w:val="555555"/>
          <w:sz w:val="18"/>
        </w:rPr>
        <w:t xml:space="preserve">Sachenrechts-Durchführungsverordnung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Abs. 1 Satz 2, des § 8 Abs. 1 Satz 2 und des § 9 Abs. 8 des Grundbuchbereinigungsgesetzes vom 20. Dezember 1993 (BGBl. I S. 2182, 2192), des § 1 Abs. 4 der Grundbuchordnung in der Fassung der Bekanntmachung vom 26. Mai 1994 (BGBl. I S. 1114), die zuletzt durch Artikel 24 des Einführungsgesetzes zur Insolvenzordnung vom 5. Oktober 1994 (BGBl. I S. 2911) geändert worden ist, des Artikels 18 Abs. 4 Nr. 2 des Registerverfahrenbeschleunigungsgesetzes vom 20. Dezember 1993 (BGBl. I S. 2182) und des Artikels 12 Abs. 1 Nr. 2 des Zweiten Vermögensrechtsänderungsgesetzes vom 14. Juli 1992 (BGBl. I S. 1257) verordnet das Bundesministerium der Justiz und auf Grund des § 9 Abs. 9 und Abs. 11 Satz 2 des Grundbuchbereinigungsgesetzes verordnet die Bundesregierung:</w:t>
      </w:r>
    </w:p>
    <w:p>
      <w:r>
        <w:rPr>
          <w:color w:val="555555"/>
          <w:sz w:val="17"/>
        </w:rPr>
        <w:t xml:space="preserve">Zitiervorschlag: Eingangsformel SachenR-DV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https://recht.nulegal.eu/gesetze/SachenR-DV/eingangsformel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