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SachenR-DV — Grundbuchberichtigung</w:t>
      </w:r>
    </w:p>
    <w:p>
      <w:r>
        <w:rPr>
          <w:color w:val="555555"/>
          <w:sz w:val="18"/>
        </w:rPr>
        <w:t xml:space="preserve">Sachenrechts-Durchführungsverordnung</w:t>
      </w:r>
    </w:p>
    <w:p>
      <w:r>
        <w:rPr>
          <w:color w:val="555555"/>
          <w:sz w:val="18"/>
        </w:rPr>
        <w:t xml:space="preserve">Stand: 10.06.2019 (konsolidierte Textfassung, kein amtliches Inkrafttretensdatum)</w:t>
      </w:r>
    </w:p>
    <w:p>
      <w:r>
        <w:t xml:space="preserve">(1) Auf Antrag des Versorgungsunternehmens, dem eine der Zahl der betroffenen Grundbuchblätter entsprechende Anzahl Kopien der ersten Seite des Antrags beizufügen sind, berichtigt das Grundbuchamt das Grundbuch, indem es das Recht auf Grund der Leitungs- und Anlagenrechtsbescheinigung an rangbereiter Stelle einträgt. Das Grundbuchamt kann verlangen, daß die in § 7 Abs. 2 Nr. 1 bezeichnete Karte vorgelegt wird. Ein Teilvollzug ist zulässig. In der Eintragung ist nach Möglichkeit auf die Bescheinigung unter Angabe der Behörde, ihres Geschäftszeichens und des Ausstellungsdatums Bezug zu nehmen.</w:t>
      </w:r>
    </w:p>
    <w:p>
      <w:r>
        <w:t xml:space="preserve">(2) Enthält die Bescheinigung einen Vermerk über einen Widerspruch des Grundstückseigentümers, so ist an rangbereiter Stelle ein Widerspruch folgenden Inhalts einzutragen: "Widerspruch gegen die Richtigkeit des Grundbuchs wegen eines nicht eingetragenen Leitungs- und Anlagenrechts gemäß § 9 Abs. 5 Satz 2 GBBerG zu Gunsten von ..." unter Angabe des Namens und des Sitzes des Versorgungsunternehmens sowie des Eintragungsdatums.</w:t>
      </w:r>
    </w:p>
    <w:p>
      <w:r>
        <w:rPr>
          <w:color w:val="555555"/>
          <w:sz w:val="17"/>
        </w:rPr>
        <w:t xml:space="preserve">Zitiervorschlag: § 8 SachenR-DV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