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SachenR-DV — Anwendungsregelung für Energieanlagen</w:t>
      </w:r>
    </w:p>
    <w:p>
      <w:r>
        <w:rPr>
          <w:color w:val="555555"/>
          <w:sz w:val="18"/>
        </w:rPr>
        <w:t xml:space="preserve">Sachenrechts-Durchführungsverordnung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§§ 6 bis 10 sind von dem Tage an auf Energieanlagen anzuwenden, an dem in dem jeweiligen Land die Rechtsverordnung nach § 9 Abs. 11 Satz 2 des Grundbuchbereinigungsgesetzes in Kraft tritt.</w:t>
      </w:r>
    </w:p>
    <w:p>
      <w:r>
        <w:rPr>
          <w:color w:val="555555"/>
          <w:sz w:val="17"/>
        </w:rPr>
        <w:t xml:space="preserve">Zitiervorschlag: § 11 SachenR-DV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https://recht.nulegal.eu/gesetze/SachenR-DV/11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