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SachenR-DV — Erstreckung auf wasserwirtschaftliche Anlagen</w:t>
      </w:r>
    </w:p>
    <w:p>
      <w:r>
        <w:rPr>
          <w:color w:val="555555"/>
          <w:sz w:val="18"/>
        </w:rPr>
        <w:t xml:space="preserve">Sachenrechts-Durchführungsverordnung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Regelungen des § 9 Abs. 1 bis 7 des Grundbuchbereinigungsgesetzes und der §§ 4 bis 10 dieser Verordnung über Energieanlagen gelten, soweit in dieser Verordnung nichts Abweichendes bestimmt wird, auch für die in § 9 Abs. 9 Satz 1 des Gesetzes bezeichneten wasserwirtschaftlichen Anlagen. § 9 Abs. 1 des Grundbuchbereinigungsgesetzes findet außer in den in § 9 Abs. 2 des Gesetzes bezeichneten Fällen auch keine Anwendung, soweit Kunden und Anschlußnehmer, die Grundstückseigentümer sind, nach der Verordnung über Allgemeine Bedingungen für die Versorgung mit Wasser vom 20. Juni 1980 (BGBl. I S. 750, 1067) zur Duldung von Anlagen verpflichtet sind. Als Versorgungsunternehmen gilt der Betreiber, bei Überlassung der Anlage an Dritte der Inhaber der in § 9 Abs. 9 Satz 1 des Grundbuchbereinigungsgesetzes bezeichneten Anlagen unabhängig von seiner Rechtsform.</w:t>
      </w:r>
    </w:p>
    <w:p>
      <w:r>
        <w:rPr>
          <w:color w:val="555555"/>
          <w:sz w:val="17"/>
        </w:rPr>
        <w:t xml:space="preserve">Zitiervorschlag: § 1 SachenR-DV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https://recht.nulegal.eu/gesetze/SachenR-DV/1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