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SachenRÄndG</w:t>
      </w:r>
    </w:p>
    <w:p>
      <w:r>
        <w:rPr>
          <w:color w:val="555555"/>
          <w:sz w:val="18"/>
        </w:rPr>
        <w:t xml:space="preserve">Gesetz zur Änderung sachenrechtlicher, grundbuchrechtlicher und anderer Vorschriften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die Ergänzung des über eine Hypothek, Grundschuld oder Rentenschuld vor Inkrafttreten dieses Gesetzes erteilten Briefes ist § 57 der Grundbuchordnung in der bisherigen Fassung anzuwenden. Jedoch soll eine nach Inkrafttreten dieses Gesetzes bei dem Recht eingetragene Löschungsvormerkung nach § 1179 des Bürgerlichen Gesetzbuchs auch auf Antrag nicht auf dem Brief vermerkt werden.</w:t>
      </w:r>
    </w:p>
    <w:p>
      <w:r>
        <w:rPr>
          <w:color w:val="555555"/>
          <w:sz w:val="17"/>
        </w:rPr>
        <w:t xml:space="preserve">Zitiervorschlag: § 2 SachenRÄndG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https://recht.nulegal.eu/gesetze/SachenR%C3%84ndG/2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