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SachBezV 1978 — Inkrafttreten</w:t>
      </w:r>
    </w:p>
    <w:p>
      <w:r>
        <w:rPr>
          <w:color w:val="555555"/>
          <w:sz w:val="18"/>
        </w:rPr>
        <w:t xml:space="preserve">Sachbezugsverordnung 1994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(Inkrafttreten)</w:t>
      </w:r>
    </w:p>
    <w:p>
      <w:r>
        <w:t xml:space="preserve">(2) Die in dieser Verordnung festgesetzten Werte gelten</w:t>
      </w:r>
    </w:p>
    <w:p>
      <w:pPr>
        <w:ind w:left="420"/>
      </w:pPr>
      <w:r>
        <w:t xml:space="preserve">1. bei laufendem Arbeitsentgelt für das Arbeitsentgelt, das für die im Jahr 1994 endenden Lohnzahlungszeiträume gewährt wird,</w:t>
      </w:r>
    </w:p>
    <w:p>
      <w:pPr>
        <w:ind w:left="420"/>
      </w:pPr>
      <w:r>
        <w:t xml:space="preserve">2. bei einmaligen Einnahmen für das Arbeitsentgelt, das im Jahr 1994 gewährt wird.</w:t>
      </w:r>
    </w:p>
    <w:p>
      <w:r>
        <w:t xml:space="preserve">(3) Für die Bewertung von Sachbezügen, die vor dem Jahr 1994 gewährt worden sind, bleiben die im Zeitpunkt der Gewährung geltenden Regelungen maßgebend.</w:t>
      </w:r>
    </w:p>
    <w:p>
      <w:r>
        <w:rPr>
          <w:color w:val="555555"/>
          <w:sz w:val="17"/>
        </w:rPr>
        <w:t xml:space="preserve">Zitiervorschlag: § 6 SachBezV 1978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https://recht.nulegal.eu/gesetze/SachBezV%201978/6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