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SachBezV 1978 — Übergangsvorschrift</w:t>
      </w:r>
    </w:p>
    <w:p>
      <w:r>
        <w:rPr>
          <w:color w:val="555555"/>
          <w:sz w:val="18"/>
        </w:rPr>
        <w:t xml:space="preserve">Sachbezugsverordnung 1994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§§ 1 und 2 sind in dem in Artikel 3 des Einigungsvertrages bezeichneten Gebiet mit folgenden Maßgaben anzuwenden:</w:t>
      </w:r>
    </w:p>
    <w:p>
      <w:pPr>
        <w:ind w:left="420"/>
      </w:pPr>
      <w:r>
        <w:t xml:space="preserve">1. Der Wert der freien Kost und Wohnung einschließlich Heizung und Beleuchtung beträgt monatlich 505 DM.</w:t>
      </w:r>
    </w:p>
    <w:p>
      <w:pPr>
        <w:ind w:left="420"/>
      </w:pPr>
      <w:r>
        <w:t xml:space="preserve">2. Wird freie Kost und Wohnung teilweise zur Verfügung gestellt, so sind anzusetzen</w:t>
      </w:r>
    </w:p>
    <w:p>
      <w:r>
        <w:rPr>
          <w:rFonts w:ascii="Courier New" w:hAnsi="Courier New"/>
          <w:sz w:val="17"/>
        </w:rPr>
        <w:t xml:space="preserve">für die Wohnung    133,40 DM,</w:t>
      </w:r>
    </w:p>
    <w:p>
      <w:r>
        <w:rPr>
          <w:rFonts w:ascii="Courier New" w:hAnsi="Courier New"/>
          <w:sz w:val="17"/>
        </w:rPr>
        <w:t xml:space="preserve">für Heizung    39,50 DM,</w:t>
      </w:r>
    </w:p>
    <w:p>
      <w:r>
        <w:rPr>
          <w:rFonts w:ascii="Courier New" w:hAnsi="Courier New"/>
          <w:sz w:val="17"/>
        </w:rPr>
        <w:t xml:space="preserve">für Beleuchtung    2,70 DM,</w:t>
      </w:r>
    </w:p>
    <w:p>
      <w:r>
        <w:rPr>
          <w:rFonts w:ascii="Courier New" w:hAnsi="Courier New"/>
          <w:sz w:val="17"/>
        </w:rPr>
        <w:t xml:space="preserve">für freie Kost die Werte, die sich aus § 1 Abs. 2 in Verbindung mit § 1 Abs. 1 ergeben.</w:t>
      </w:r>
    </w:p>
    <w:p>
      <w:r>
        <w:rPr>
          <w:color w:val="555555"/>
          <w:sz w:val="17"/>
        </w:rPr>
        <w:t xml:space="preserve">Zitiervorschlag: § 4 SachBezV 1978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https://recht.nulegal.eu/gesetze/SachBezV%201978/4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