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SachBezV 1978 — Sonstige Sachbezüge</w:t>
      </w:r>
    </w:p>
    <w:p>
      <w:r>
        <w:rPr>
          <w:color w:val="555555"/>
          <w:sz w:val="18"/>
        </w:rPr>
        <w:t xml:space="preserve">Sachbezugsverordnung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Werden Sachbezüge, die nicht von § 1 erfaßt werden, unentgeltlich zur Verfügung gestellt, ist als Wert für diese Sachbezüge der übliche Endpreis am Abgabeort anzusetzen. Sind auf Grund des § 8 Abs. 2 Satz 4 des Einkommensteuergesetzes Durchschnittswerte festgesetzt worden, sind diese Werte maßgebend. Findet § 8 Abs. 3 Satz 1 des Einkommensteuergesetzes Anwendung, sind die dort genannten Werte maßgebend.</w:t>
      </w:r>
    </w:p>
    <w:p>
      <w:r>
        <w:t xml:space="preserve">(2) Werden Sachbezüge, die nicht von § 1 erfaßt werden, verbilligt zur Verfügung gestellt, ist als Wert der Unterschiedsbetrag zwischen dem vereinbarten Preis und dem Wert nach Absatz 1 anzusetzen.</w:t>
      </w:r>
    </w:p>
    <w:p>
      <w:r>
        <w:t xml:space="preserve">(3) Waren und Dienstleistungen, die vom Arbeitgeber nicht überwiegend für den Bedarf seiner Arbeitnehmer hergestellt, vertrieben oder erbracht werden und die nach § 40 Abs. 1 Satz 1 Nr. 1 des Einkommensteuergesetzes pauschal versteuert werden, können mit dem Durchschnittsbetrag der pauschal versteuerten Waren und Dienstleistungen angesetzt werden; dabei kann der Durchschnittsbetrag des Vorjahres angesetzt werden. Besteht das Beschäftigungsverhältnis nur während eines Teils des Kalenderjahres, ist für jeden Tag des Beschäftigungsverhältnisses der dreihundertsechzigste Teil des Durchschnittswertes nach Satz 1 anzusetzen. Satz 1 gilt nur, wenn der Arbeitgeber den von dem Beschäftigten zu tragenden Teil des Gesamtsozialversicherungsbeitrags übernimmt. Die Sätze 1 bis 3 gelten entsprechend für Sachzuwendungen im Werte von nicht mehr als 150 DM, die der Arbeitnehmer für Verbesserungsvorschläge sowie für Leistungen in der Unfallverhütung und im Arbeitsschutz erhält.</w:t>
      </w:r>
    </w:p>
    <w:p>
      <w:r>
        <w:rPr>
          <w:color w:val="555555"/>
          <w:sz w:val="17"/>
        </w:rPr>
        <w:t xml:space="preserve">Zitiervorschlag: § 3 SachBezV 1978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https://recht.nulegal.eu/gesetze/SachBezV%201978/3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