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SaatVerkG 1985 — Nachprüfung</w:t>
      </w:r>
    </w:p>
    <w:p>
      <w:r>
        <w:rPr>
          <w:color w:val="555555"/>
          <w:sz w:val="18"/>
        </w:rPr>
        <w:t xml:space="preserve">Saatgutverkehrsgesetz</w:t>
      </w:r>
    </w:p>
    <w:p>
      <w:r>
        <w:rPr>
          <w:color w:val="555555"/>
          <w:sz w:val="18"/>
        </w:rPr>
        <w:t xml:space="preserve">Stand: 10.06.2019 (konsolidierte Textfassung, kein amtliches Inkrafttretensdatum)</w:t>
      </w:r>
    </w:p>
    <w:p>
      <w:r>
        <w:t xml:space="preserve">(1) Das Bundesministerium für Ernährung und Landwirtschaft wird ermächtigt, durch Rechtsverordnung mit Zustimmung des Bundesrates zum Schutz des Verbrauchers vorzuschreiben, dass anerkanntes Saatgut darauf nachzuprüfen ist, ob das Saatgut oder sein Aufwuchs unter Berücksichtigung der biologischen Gegebenheiten</w:t>
      </w:r>
    </w:p>
    <w:p>
      <w:pPr>
        <w:ind w:left="420"/>
      </w:pPr>
      <w:r>
        <w:t xml:space="preserve">1. den in der Entscheidung über die Sortenzulassung festgestellten Ausprägungen der wichtigen Merkmale entspricht (sortenecht ist) und</w:t>
      </w:r>
    </w:p>
    <w:p>
      <w:pPr>
        <w:ind w:left="420"/>
      </w:pPr>
      <w:r>
        <w:t xml:space="preserve">2. erkennen lässt, dass die Anforderungen an den Gesundheitszustand erfüllt waren, soweit eine solche Nachprüfung erforderlich ist.</w:t>
      </w:r>
    </w:p>
    <w:p>
      <w:r>
        <w:t xml:space="preserve">In der Rechtsverordnung kann das Verfahren geregelt und dabei das Bundessortenamt mit der Durchführung der Nachprüfung auf Sortenechtheit beauftragt werden.</w:t>
      </w:r>
    </w:p>
    <w:p>
      <w:r>
        <w:t xml:space="preserve">(2) Wird die Anerkennung zurückgenommen, weil die Nachprüfung ergeben hat, dass das Saatgut nicht sortenecht ist oder festgesetzten Anforderungen an seinen Gesundheitszustand nicht entspricht, so besteht kein Anspruch auf Ausgleich eines Vermögensnachteils nach § 48 Abs. 3 des Verwaltungsverfahrensgesetzes sowie nach den entsprechenden Vorschriften der Verwaltungsverfahrensgesetze der Länder.</w:t>
      </w:r>
    </w:p>
    <w:p>
      <w:r>
        <w:rPr>
          <w:color w:val="555555"/>
          <w:sz w:val="17"/>
        </w:rPr>
        <w:t xml:space="preserve">Zitiervorschlag: § 9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