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SaatVerkG 1985 — Voraussetzungen für die Sortenzulassung</w:t>
      </w:r>
    </w:p>
    <w:p>
      <w:r>
        <w:rPr>
          <w:color w:val="555555"/>
          <w:sz w:val="18"/>
        </w:rPr>
        <w:t xml:space="preserve">Saatgutverkehrsgesetz</w:t>
      </w:r>
    </w:p>
    <w:p>
      <w:r>
        <w:rPr>
          <w:color w:val="555555"/>
          <w:sz w:val="18"/>
        </w:rPr>
        <w:t xml:space="preserve">Stand: 10.06.2019 (konsolidierte Textfassung, kein amtliches Inkrafttretensdatum)</w:t>
      </w:r>
    </w:p>
    <w:p>
      <w:r>
        <w:t xml:space="preserve">(1) Eine Sorte wird vorbehaltlich der Absätze 5 und 6 zugelassen, wenn sie</w:t>
      </w:r>
    </w:p>
    <w:p>
      <w:pPr>
        <w:ind w:left="420"/>
      </w:pPr>
      <w:r>
        <w:t xml:space="preserve">1. unterscheidbar,</w:t>
      </w:r>
    </w:p>
    <w:p>
      <w:pPr>
        <w:ind w:left="420"/>
      </w:pPr>
      <w:r>
        <w:t xml:space="preserve">2. homogen und</w:t>
      </w:r>
    </w:p>
    <w:p>
      <w:pPr>
        <w:ind w:left="420"/>
      </w:pPr>
      <w:r>
        <w:t xml:space="preserve">3. beständig ist,</w:t>
      </w:r>
    </w:p>
    <w:p>
      <w:pPr>
        <w:ind w:left="420"/>
      </w:pPr>
      <w:r>
        <w:t xml:space="preserve">4. landeskulturellen Wert hat sowie</w:t>
      </w:r>
    </w:p>
    <w:p>
      <w:pPr>
        <w:ind w:left="420"/>
      </w:pPr>
      <w:r>
        <w:t xml:space="preserve">5. durch eine eintragbare Sortenbezeichnung bezeichnet ist.</w:t>
      </w:r>
    </w:p>
    <w:p>
      <w:r>
        <w:t xml:space="preserve">Die Zulassung einer Sorte kann versagt werden, wenn hinreichende Gründe für die Annahme bestehen, dass die Sorte ein Risiko für die Gesundheit von Menschen, Tieren oder Pflanzen oder die Umwelt darstellt, insbesondere, wenn der Anbau die Gesundheit von Menschen, Tieren oder Pflanzen oder die Umwelt gefährdet. Von der Versagung ist abzusehen, soweit durch Nebenbestimmungen die Versagungsgründe ausgeräumt werden können.</w:t>
      </w:r>
    </w:p>
    <w:p>
      <w:r>
        <w:t xml:space="preserve">(2) Die Voraussetzung des landeskulturellen Wertes entfällt bei</w:t>
      </w:r>
    </w:p>
    <w:p>
      <w:pPr>
        <w:ind w:left="420"/>
      </w:pPr>
      <w:r>
        <w:t xml:space="preserve">1. Sorten von Gemüse, Obst und Zierpflanzen,</w:t>
      </w:r>
    </w:p>
    <w:p>
      <w:pPr>
        <w:ind w:left="420"/>
      </w:pPr>
      <w:r>
        <w:t xml:space="preserve">2. Sorten von Gräsern, bei denen der Aufwuchs des Saatgutes nicht zur Nutzung als Futterpflanze bestimmt ist,</w:t>
      </w:r>
    </w:p>
    <w:p>
      <w:pPr>
        <w:ind w:left="420"/>
      </w:pPr>
      <w:r>
        <w:t xml:space="preserve">3. Sorten, die ausschließlich zur Verwendung als Erbkomponenten bestimmt sind,</w:t>
      </w:r>
    </w:p>
    <w:p>
      <w:pPr>
        <w:ind w:left="420"/>
      </w:pPr>
      <w:r>
        <w:t xml:space="preserve">4. anderen als den in den Nummern 1 bis 3 bezeichneten Sorten, wenn sie in einem anderen Vertragsstaat die Voraussetzung des landeskulturellen Wertes erfüllt haben und in ein der Sortenliste entsprechendes Verzeichnis eingetragen worden sind und der Antragsteller beantragt, die Sorte ohne Prüfung des landeskulturellen Wertes zuzulassen,</w:t>
      </w:r>
    </w:p>
    <w:p>
      <w:pPr>
        <w:ind w:left="420"/>
      </w:pPr>
      <w:r>
        <w:t xml:space="preserve">5. Sorten, deren Saatgut nicht zum Anbau in einem Vertragsstaat bestimmt ist.</w:t>
      </w:r>
    </w:p>
    <w:p>
      <w:r>
        <w:t xml:space="preserve">(3) Das Bundesministerium für Ernährung und Landwirtschaft wird ermächtigt, zum Schutz des Verbrauchers durch Rechtsverordnung mit Zustimmung des Bundesrates</w:t>
      </w:r>
    </w:p>
    <w:p>
      <w:pPr>
        <w:ind w:left="420"/>
      </w:pPr>
      <w:r>
        <w:t xml:space="preserve">1. vorzusehen, dass Sorten von Obst oder Zierpflanzen nur zugelassen werden, wenn sie zusätzlich zu den Voraussetzungen nach Absatz 1 Nr. 1 bis 3 und 5 bestimmte weitere Eigenschaften, insbesondere in Bezug auf Anbau und Verwendung, aufweisen,</w:t>
      </w:r>
    </w:p>
    <w:p>
      <w:pPr>
        <w:ind w:left="420"/>
      </w:pPr>
      <w:r>
        <w:t xml:space="preserve">2. vorzuschreiben, dass in den Fällen des Absatzes 2 Satz 1 Nr. 1 und 2 die Zulassung einer Sorte ihren landeskulturellen Wert voraussetzt, im Falle des Absatzes 2 Satz 1 Nr. 1 jedoch nur, soweit dies in Rechtsakten der Europäischen Gemeinschaft oder der Europäischen Union vorgesehen ist.</w:t>
      </w:r>
    </w:p>
    <w:p>
      <w:r>
        <w:t xml:space="preserve">(4) Bei Sorten von Rebe tritt an die Stelle der Voraussetzung des landeskulturellen Wertes die Feststellung der physiologischen Merkmale, insbesondere der Anbaueigenschaften und des Verwendungszwecks, die in Rechtsakten der Europäischen Gemeinschaft oder der Europäischen Union über den Verkehr mit vegetativem Vermehrungsgut von Rebe als zu prüfende Merkmale aufgeführt sind.</w:t>
      </w:r>
    </w:p>
    <w:p>
      <w:r>
        <w:t xml:space="preserve">(5) Eine Sorte, deren Pflanzen gentechnisch veränderte Organismen im Sinne des § 3 Nr. 3 des Gentechnikgesetzes sind, darf nur zugelassen werden, wenn</w:t>
      </w:r>
    </w:p>
    <w:p>
      <w:pPr>
        <w:ind w:left="420"/>
      </w:pPr>
      <w:r>
        <w:t xml:space="preserve">1. im Falle von Sorten, deren Pflanzen, Pflanzenteile oder aus ihnen gewonnene Erzeugnisse zur Verwendung als oder in Lebensmitteln oder Futtermitteln bestimmt sind, eine Zulassung nach Artikel 4 Abs. 2 oder Artikel 16 Abs. 2 der Verordnung (EG) Nr. 1829/2003 des Europäischen Parlaments und des Rates vom 22. September 2003 über genetisch veränderte Lebensmittel und Futtermittel (ABl. EU Nr. L 268 S. 1) in der jeweils geltenden Fassung erteilt worden ist oder</w:t>
      </w:r>
    </w:p>
    <w:p>
      <w:pPr>
        <w:ind w:left="420"/>
      </w:pPr>
      <w:r>
        <w:t xml:space="preserve">2. im Falle von Sorten, deren Pflanzen gentechnisch veränderte Organismen sind, die nicht unter die Nummer 1 fallen, eine Genehmigung für das Inverkehrbringen der Pflanzen und Pflanzenteile dieser Sorte nach § 14 Abs. 1 Nr. 2, auch in Verbindung mit Abs. 5, des Gentechnikgesetzes erteilt worden ist. Eine Sorte, deren Pflanzen, Pflanzenteile oder die aus ihnen gewonnenen Erzeugnisse in den Anwendungsbereich des Artikels 8 oder 20 der Verordnung (EG) Nr. 1829/2003 fallen, darf nur zugelassen werden, wenn die Pflanzen, Pflanzenteile oder die aus ihnen gewonnenen Erzeugnisse nach diesen Vorschriften in den Verkehr gebracht werden dürfen.</w:t>
      </w:r>
    </w:p>
    <w:p>
      <w:r>
        <w:t xml:space="preserve">(6) Eine Sorte, deren Pflanzen zur Herstellung neuartiger Lebensmittel oder neuartiger Lebensmittelzutaten im Sinne des Artikels 1 Abs. 2 der Verordnung (EG) Nr. 258/97 des Europäischen Parlaments und des Rates vom 27. Januar 1997 über neuartige Lebensmittel und neuartige Lebensmittelzutaten (ABl. EG Nr. L 43 S. 1) in der jeweils geltenden Fassung bestimmt sind, darf nur zugelassen werden, wenn eine Genehmigung für das Inverkehrbringen der betreffenden Lebensmittel oder Lebensmittelzutaten nach den Bestimmungen der Verordnung (EG) Nr. 258/97 erteilt worden ist.</w:t>
      </w:r>
    </w:p>
    <w:p>
      <w:r>
        <w:t xml:space="preserve">(7) Das Bundesministerium für Ernährung und Landwirtschaft wird ermächtigt, durch Rechtsverordnung mit Zustimmung des Bundesrates das Verfahren bei der Zulassung von Sorten nach Absatz 6 zu regeln, soweit dies zur Durchführung von Rechtsakten der Europäischen Gemeinschaft oder der Europäischen Union erforderlich ist.</w:t>
      </w:r>
    </w:p>
    <w:p>
      <w:r>
        <w:t xml:space="preserve">(8) Das Bundesministerium für Ernährung und Landwirtschaft wird ermächtigt, soweit es zur Durchführung von Rechtsakten der Europäischen Gemeinschaft oder der Europäischen Union erforderlich ist, durch Rechtsverordnung mit Zustimmung des Bundesrates abweichend von den Absätzen 1 und 2 die Voraussetzungen für die Zulassung von Sorten, die zur Erhaltung und nachhaltigen Nutzung pflanzengenetischer Ressourcen bestimmt sind (Erhaltungssorten), zu regeln und das Verfahren hierfür festzusetzen.</w:t>
      </w:r>
    </w:p>
    <w:p>
      <w:r>
        <w:rPr>
          <w:color w:val="555555"/>
          <w:sz w:val="17"/>
        </w:rPr>
        <w:t xml:space="preserve">Zitiervorschlag: § 30 SaatVerkG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https://recht.nulegal.eu/gesetze/SaatVerkG%201985/30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