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SaatV — Kennzeichnung</w:t>
      </w:r>
    </w:p>
    <w:p>
      <w:r>
        <w:rPr>
          <w:color w:val="555555"/>
          <w:sz w:val="18"/>
        </w:rPr>
        <w:t xml:space="preserve">Saatgutverordnung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 die Stelle der Etiketten nach § 29 und der Einleger nach § 31 treten Etiketten, die in Form, Größe und Farbe denen des § 29 Abs. 3 entsprechen müssen, und Einleger in der jeweiligen Kennfarbe, die die Angaben nach Anlage 8 aufgedruckt enthalten müssen. Es gelten für die Referenznummer bei anerkanntem Saatgut § 14 Abs. 2 und bei Standardsaatgut § 29 Abs. 3 Satz 3 sowie für die Angabe einer Saatgutbehandlung § 32 entsprechend.</w:t>
      </w:r>
    </w:p>
    <w:p>
      <w:r>
        <w:t xml:space="preserve">(2) Für Kleinpackungen von Zertifiziertem Saatgut von Gemüse tritt an die Stelle der Kennzeichnung nach § 40 Abs. 3 ein Etikett, Einleger oder Aufdruck mit den Angaben nach Anlage 8 Nr. 1.3.</w:t>
      </w:r>
    </w:p>
    <w:p>
      <w:r>
        <w:t xml:space="preserve">(3) Soll anerkanntes Vorstufensaatgut nach den Vorschriften dieses Abschnitts gekennzeichnet werden, so müssen Etiketten und Einleger die Angaben nach Anlage 8 Nr. 1.4 enthalten.</w:t>
      </w:r>
    </w:p>
    <w:p>
      <w:r>
        <w:t xml:space="preserve">(4) Packungen von Saatgutmischungen, die weniger als zwei Kilogramm Saatgut enthalten, können mit einem kleineren Etikett gekennzeichnet werden, soweit die Angaben gut lesbar sind.</w:t>
      </w:r>
    </w:p>
    <w:p>
      <w:r>
        <w:rPr>
          <w:color w:val="555555"/>
          <w:sz w:val="17"/>
        </w:rPr>
        <w:t xml:space="preserve">Zitiervorschlag: § 46 SaatV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https://recht.nulegal.eu/gesetze/SaatV/46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