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SaatV — Grundvorschrift</w:t>
      </w:r>
    </w:p>
    <w:p>
      <w:r>
        <w:rPr>
          <w:color w:val="555555"/>
          <w:sz w:val="18"/>
        </w:rPr>
        <w:t xml:space="preserve">Saatgutverordnung</w:t>
      </w:r>
    </w:p>
    <w:p>
      <w:r>
        <w:rPr>
          <w:color w:val="555555"/>
          <w:sz w:val="18"/>
        </w:rPr>
        <w:t xml:space="preserve">Stand: 09.12.2020 (konsolidierte Textfassung, kein amtliches Inkrafttretensdatum)</w:t>
      </w:r>
    </w:p>
    <w:p>
      <w:r>
        <w:t xml:space="preserve">(1) Das Bundessortenamt macht bekannt, welche Arten den jeweiligen OECD-Systemen unterliegen.</w:t>
      </w:r>
    </w:p>
    <w:p>
      <w:r>
        <w:t xml:space="preserve">(2) Die Packungen oder Behältnisse von Saatgut, das im Inland erwachsen ist und die Voraussetzungen für die Anerkennung erfüllt, von Saatgut, das nach § 10 des Saatgutverkehrsgesetzes anerkannt werden kann, sowie von Saatgut, das im Inland anerkannt worden ist, können von der Anerkennungsstelle auf Antrag nach den Vorschriften dieses Abschnitts gekennzeichnet werden, wenn das Saatgut zum Anbau außerhalb eines Vertragsstaates bestimmt ist und einem OECD-System unterliegt. Bei Vorstufensaatgut und Basissaatgut von Sorten, die nicht nach § 30 des Saatgutverkehrsgesetzes zugelassen sind, ist eine solche Kennzeichnung nur zulässig, wenn vor oder bei der Anlage des Vermehrungsvorhabens zwischen der Anerkennungsstelle und der zuständigen Stelle im Ursprungsland der Sorte Einvernehmen über das Vorhaben herbeigeführt worden ist.</w:t>
      </w:r>
    </w:p>
    <w:p>
      <w:r>
        <w:t xml:space="preserve">(3) Bei Standardsaatgut von Gemüse hat sich der Betrieb bei Beantragung der Betriebsnummer nach § 29 Abs. 3 Satz 2 zu verpflichten, Menge, Art, Sortenbezeichnung und Bezugsnummer des gekennzeichneten Standardsaatguts der die Betriebsnummer festsetzenden Nachkontrollstelle zum Abschluss eines jeden Kalenderhalbjahres schriftlich oder elektronisch anzugeben.</w:t>
      </w:r>
    </w:p>
    <w:p>
      <w:r>
        <w:t xml:space="preserve">(4) Saatgutmischungen zur Futternutzung können von der Anerkennungsstelle auf Antrag nach den Vorschriften dieses Abschnitts gekennzeichnet werden, wenn</w:t>
      </w:r>
    </w:p>
    <w:p>
      <w:pPr>
        <w:ind w:left="420"/>
      </w:pPr>
      <w:r>
        <w:t xml:space="preserve">1. sie nur Saatgut verschiedener Sorten einer oder mehrerer Arten von Futterpflanzen oder Getreide, außer Mais und Sorghum, enthalten und</w:t>
      </w:r>
    </w:p>
    <w:p>
      <w:pPr>
        <w:ind w:left="420"/>
      </w:pPr>
      <w:r>
        <w:t xml:space="preserve">2. das Saatgut vor dem Mischen anerkannt worden ist.</w:t>
      </w:r>
    </w:p>
    <w:p>
      <w:r>
        <w:t xml:space="preserve">Den Saatgutmischungen kann zusätzlich anerkanntes Saatgut von Öl- und Faserpflanzen, Mais und Sorghum hinzugefügt werden.</w:t>
      </w:r>
    </w:p>
    <w:p>
      <w:r>
        <w:rPr>
          <w:color w:val="555555"/>
          <w:sz w:val="17"/>
        </w:rPr>
        <w:t xml:space="preserve">Zitiervorschlag: § 44 SaatV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https://recht.nulegal.eu/gesetze/SaatV/44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