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SaatV — Schließung bei Standardsaatgut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Packungen oder Behältnisse von Standardsaatgut sind von demjenigen zu schließen und mit einer Sicherung zu versehen, der sie gekennzeichnet hat. § 34 Abs. 2 und 4 gilt entsprechend.</w:t>
      </w:r>
    </w:p>
    <w:p>
      <w:r>
        <w:t xml:space="preserve">(2) Die Sicherungen dürfen nach Farbe und Aufschrift nicht mit Plomben, Banderolen oder Siegelmarken für Packungen anerkannten Saatgutes verwechselbar sein.</w:t>
      </w:r>
    </w:p>
    <w:p>
      <w:r>
        <w:rPr>
          <w:color w:val="555555"/>
          <w:sz w:val="17"/>
        </w:rPr>
        <w:t xml:space="preserve">Zitiervorschlag: § 38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