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SaatV — Ablieferung ungültiger Etiketten, Einleger und Verschlusssicherungen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Etiketten, Einleger und Verschlusssicherungen der Packungen oder Behältnisse sowie die Packungen mit Aufdrucketikett sind nach näherer Anweisung der Anerkennungsstelle abzuliefern oder unbrauchbar zu machen, wenn</w:t>
      </w:r>
    </w:p>
    <w:p>
      <w:pPr>
        <w:ind w:left="420"/>
      </w:pPr>
      <w:r>
        <w:t xml:space="preserve">1. das Saatgut auf Grund der Beschaffenheitsprüfung nicht anerkannt oder nicht zugelassen wird,</w:t>
      </w:r>
    </w:p>
    <w:p>
      <w:pPr>
        <w:ind w:left="420"/>
      </w:pPr>
      <w:r>
        <w:t xml:space="preserve">2. die Anerkennung des Saatgutes nach § 18 zurückgenommen wird,</w:t>
      </w:r>
    </w:p>
    <w:p>
      <w:pPr>
        <w:ind w:left="420"/>
      </w:pPr>
      <w:r>
        <w:t xml:space="preserve">3. das Saatgut für die Herstellung von Saatgutmischungen verwendet wird oder</w:t>
      </w:r>
    </w:p>
    <w:p>
      <w:pPr>
        <w:ind w:left="420"/>
      </w:pPr>
      <w:r>
        <w:t xml:space="preserve">4. die Erteilung der Mischungsnummer nach § 28 zurückgenommen wird.</w:t>
      </w:r>
    </w:p>
    <w:p>
      <w:r>
        <w:rPr>
          <w:color w:val="555555"/>
          <w:sz w:val="17"/>
        </w:rPr>
        <w:t xml:space="preserve">Zitiervorschlag: § 35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