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SaatV — Angaben in besonderen Fällen</w:t>
      </w:r>
    </w:p>
    <w:p>
      <w:r>
        <w:rPr>
          <w:color w:val="555555"/>
          <w:sz w:val="18"/>
        </w:rPr>
        <w:t xml:space="preserve">Saatgutverordnung</w:t>
      </w:r>
    </w:p>
    <w:p>
      <w:r>
        <w:rPr>
          <w:color w:val="555555"/>
          <w:sz w:val="18"/>
        </w:rPr>
        <w:t xml:space="preserve">Stand: 10.06.2019 (konsolidierte Textfassung, kein amtliches Inkrafttretensdatum)</w:t>
      </w:r>
    </w:p>
    <w:p>
      <w:r>
        <w:t xml:space="preserve">(1) Die Packungen oder Behältnisse mit anerkanntem Saatgut müssen auf dem Etikett, im Falle der Nummer 2 auf dem Etikett oder einem Zusatzetikett, jeweils zusätzlich folgende Angaben tragen:</w:t>
      </w:r>
    </w:p>
    <w:p>
      <w:pPr>
        <w:ind w:left="420"/>
      </w:pPr>
      <w:r>
        <w:t xml:space="preserve">1. "Nicht zur Nutzung als Futterpflanze bestimmt" bei Saatgut von Gräsersorten, dessen Aufwuchs nicht zur Nutzung als Futterpflanze bestimmt ist (§ 30 Abs. 2 Satz 1 Nr. 2 des Saatgutverkehrsgesetzes);</w:t>
      </w:r>
    </w:p>
    <w:p>
      <w:pPr>
        <w:ind w:left="420"/>
      </w:pPr>
      <w:r>
        <w:t xml:space="preserve">2. "Zur Ausfuhr außerhalb der Vertragsstaaten" bei Saatgut, das nach § 4 Abs. 2 des Saatgutverkehrsgesetzes anerkannt worden oder das nicht zum Anbau in einem Vertragsstaat bestimmt ist (§ 30 Abs. 2 Satz 1 Nr. 5 des Saatgutverkehrsgesetzes);</w:t>
      </w:r>
    </w:p>
    <w:p>
      <w:pPr>
        <w:ind w:left="420"/>
      </w:pPr>
      <w:r>
        <w:t xml:space="preserve">3. "geprüft nach § 12 Abs. 1b der Saatgutverordnung" im Falle einer Beschaffenheitsprüfung nach § 12 Abs. 1b.</w:t>
      </w:r>
    </w:p>
    <w:p>
      <w:r>
        <w:t xml:space="preserve">(2) Hat das Bundessortenamt die Sortenzulassung oder ihre Verlängerung mit einer Auflage für die Kennzeichnung des Saatgutes der Sorte verbunden, so ist auf dem Etikett oder einem Zusatzetikett zusätzlich eine Angabe entsprechend der Auflage anzubringen.</w:t>
      </w:r>
    </w:p>
    <w:p>
      <w:r>
        <w:t xml:space="preserve">(3) Die Packungen oder Behältnisse mit Saatgutmischungen, die Saatgut von Gräsersorten enthalten, dessen Aufwuchs nicht zur Nutzung als Futterpflanze bestimmt ist (§ 30 Abs. 2 Satz 1 Nr. 2 des Saatgutverkehrsgesetzes), müssen auf dem Etikett zusätzlich die Angabe tragen: "Nicht zur Nutzung als Futterpflanze bestimmt". Die Angabe ist entbehrlich, wenn aus dem angegebenen Verwendungszweck eindeutig hervorgeht, dass die Saatgutmischung nicht für Verwendungszwecke in der Landwirtschaft bestimmt ist.</w:t>
      </w:r>
    </w:p>
    <w:p>
      <w:r>
        <w:t xml:space="preserve">(4) Bei Packungen oder Behältnissen mit pilliertem, granuliertem oder inkrustiertem Saatgut sind auf dem Etikett zusätzlich anzugeben:</w:t>
      </w:r>
    </w:p>
    <w:p>
      <w:pPr>
        <w:ind w:left="420"/>
      </w:pPr>
      <w:r>
        <w:t xml:space="preserve">1. die Art der Behandlung,</w:t>
      </w:r>
    </w:p>
    <w:p>
      <w:pPr>
        <w:ind w:left="420"/>
      </w:pPr>
      <w:r>
        <w:t xml:space="preserve">2. bei pilliertem oder granuliertem Saatgut und bei Angabe des Gewichtes das Verhältnis der reinen Körner oder Knäuel zum Gesamtgewicht und</w:t>
      </w:r>
    </w:p>
    <w:p>
      <w:pPr>
        <w:ind w:left="420"/>
      </w:pPr>
      <w:r>
        <w:t xml:space="preserve">3. bei granuliertem Saatgut die Zahl der keimfähigen Samen je Gewichtseinheit.</w:t>
      </w:r>
    </w:p>
    <w:p>
      <w:r>
        <w:t xml:space="preserve">Bei Packungen oder Behältnissen mit Saatgut, dem feste Zusätze hinzugefügt worden sind, sind auf dem Etikett zusätzlich anzugeben:</w:t>
      </w:r>
    </w:p>
    <w:p>
      <w:pPr>
        <w:ind w:left="420"/>
      </w:pPr>
      <w:r>
        <w:t xml:space="preserve">1. die Art der Zusätze und</w:t>
      </w:r>
    </w:p>
    <w:p>
      <w:pPr>
        <w:ind w:left="420"/>
      </w:pPr>
      <w:r>
        <w:t xml:space="preserve">2. bei Angabe des Gewichtes das Verhältnis des Gewichtes der reinen Körner oder Knäuel zum Gesamtgewicht.</w:t>
      </w:r>
    </w:p>
    <w:p>
      <w:r>
        <w:t xml:space="preserve">(5) Bei Packungen oder Behältnissen mit</w:t>
      </w:r>
    </w:p>
    <w:p>
      <w:pPr>
        <w:ind w:left="420"/>
      </w:pPr>
      <w:r>
        <w:t xml:space="preserve">1. nach § 12 Abs. 3 anerkanntem Basissaatgut oder Vorstufensaatgut muss auf dem Etikett zusätzlich folgende Angabe gemacht werden: "Verminderte Keimfähigkeit, nur zur weiteren Vermehrung bestimmt"; außerdem müssen auf einem Zusatzetikett Name und Anschrift desjenigen, der das Saatgut als erster nach der Anerkennung zu gewerblichen Zwecken in den Verkehr bringen will, sowie die in der Beschaffenheitsprüfung festgestellte Keimfähigkeit angegeben sein;</w:t>
      </w:r>
    </w:p>
    <w:p>
      <w:pPr>
        <w:ind w:left="420"/>
      </w:pPr>
      <w:r>
        <w:t xml:space="preserve">2. Saatgut, das nach § 6 des Saatgutverkehrsgesetzes zu gewerblichen Zwecken in den Verkehr gebracht wird, müssen auf einem Zusatzetikett zusätzlich die Keimfähigkeit sowie Name und Anschrift des Absenders und des Empfängers angegeben sein.</w:t>
      </w:r>
    </w:p>
    <w:p>
      <w:r>
        <w:t xml:space="preserve">(6) Packungen oder Behältnisse mit eingeführtem Saatgut,</w:t>
      </w:r>
    </w:p>
    <w:p>
      <w:pPr>
        <w:ind w:left="420"/>
      </w:pPr>
      <w:r>
        <w:t xml:space="preserve">1. für das eine nach § 16 des Saatgutverkehrsgesetzes gleichgestellte Anerkennung oder Zulassung vorliegt oder</w:t>
      </w:r>
    </w:p>
    <w:p>
      <w:pPr>
        <w:ind w:left="420"/>
      </w:pPr>
      <w:r>
        <w:t xml:space="preserve">2. das als Standardsaatgut in den Verkehr gebracht werden soll,</w:t>
      </w:r>
    </w:p>
    <w:p>
      <w:r>
        <w:t xml:space="preserve">müssen in der in Rechtsakten der Europäischen Gemeinschaft oder der Europäischen Union bestimmten Form gekennzeichnet sein. Soweit die Kennzeichnung zusätzliche Angaben nach Anlage 5 Nr. 1.11, 2.10, 3.10 oder 4.7 enthält und diese nicht in deutscher Sprache angegeben oder in die deutsche Sprache übersetzt sind, sind die Packungen und Behältnisse nach Ankunft am Bestimmungsort im Inland mit einem Zusatzetikett zu versehen, das die Angaben des Originaletiketts in deutscher Sprache enthält; an die Stelle des Zusatzetikettes kann bei Packungen ein unverwischbarer Aufdruck treten. Satz 2 gilt nicht, wenn am ersten Bestimmungsort im Inland</w:t>
      </w:r>
    </w:p>
    <w:p>
      <w:pPr>
        <w:ind w:left="420"/>
      </w:pPr>
      <w:r>
        <w:t xml:space="preserve">1. die Packungen oder die Behältnisse nach § 37 oder § 48 Abs. 2 und 3 wiederverschlossen werden sollen,</w:t>
      </w:r>
    </w:p>
    <w:p>
      <w:pPr>
        <w:ind w:left="420"/>
      </w:pPr>
      <w:r>
        <w:t xml:space="preserve">2. das Saatgut bei der Herstellung von Saatgutmischungen verwendet werden soll oder</w:t>
      </w:r>
    </w:p>
    <w:p>
      <w:pPr>
        <w:ind w:left="420"/>
      </w:pPr>
      <w:r>
        <w:t xml:space="preserve">3. das Saatgut in Kleinpackungen abgepackt oder in kleinen Mengen an Letztverbraucher abgegeben werden soll.</w:t>
      </w:r>
    </w:p>
    <w:p>
      <w:r>
        <w:t xml:space="preserve">(7) Bei Saatgutmischungen nach § 26 Abs. 1 Nr. 2 ist eine Kennzeichnung nach § 29 Abs. 7 und § 31 nicht erforderlich, wenn die Packungen nach den Vorschriften desjenigen Vertragsstaates gekennzeichnet sind, in dem die Saatgutmischungen hergestellt worden sind. Absatz 6 Satz 2 gilt entsprechend. Sind die Packungen und Behältnisse entsprechend § 29 Abs. 7 Satz 4 gekennzeichnet worden, so sind die nach § 29 Abs. 7 Satz 1 und 2 vorgeschriebenen Angaben in deutscher Sprache nach Ankunft am ersten Bestimmungsort im Inland auf einem Zusatzetikett oder einem jeder Packung oder jedem Behältnis beigegebenen Begleitpapier unter zusätzlicher Angabe der amtlichen Stelle, bei der sie niedergelegt sind, zu machen.</w:t>
      </w:r>
    </w:p>
    <w:p>
      <w:r>
        <w:t xml:space="preserve">(8) Bei Gemüsesorten, die am 1. Juli 1970 allgemein bekannt waren, kann zusätzlich auf die Erhaltungszüchtung hingewiesen werden, wenn dies der zuständigen Stelle eines Vertragsstaates vorher angezeigt worden ist. Zuständige Stelle im Inland ist das Bundessortenamt. Auf besondere Eigenschaften im Zusammenhang mit der Erhaltungszüchtung darf nicht hingewiesen werden.</w:t>
      </w:r>
    </w:p>
    <w:p>
      <w:r>
        <w:rPr>
          <w:color w:val="555555"/>
          <w:sz w:val="17"/>
        </w:rPr>
        <w:t xml:space="preserve">Zitiervorschlag: § 33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