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SaatV — Einleger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Packung oder jedes Behältnis ist mit einem Einleger in der jeweiligen Kennfarbe zu versehen, der als Aufdruck die Bezeichnung "Einleger" und mindestens folgende Angaben der Anlage 5 enthält:</w:t>
      </w:r>
    </w:p>
    <w:p>
      <w:pPr>
        <w:ind w:left="420"/>
      </w:pPr>
      <w:r>
        <w:t xml:space="preserve">1. bei anerkanntem Saatgut die Angaben nach den Nummern 1.4 bis 1.7 und bei Monogerm- oder Präzisionssaatgut die Zusätze nach § 29 Abs. 4,</w:t>
      </w:r>
    </w:p>
    <w:p>
      <w:pPr>
        <w:ind w:left="420"/>
      </w:pPr>
      <w:r>
        <w:t xml:space="preserve">2. bei Standardsaatgut die Angaben nach den Nummern 2.2, 2.4 bis 2.6 und bei Monogerm- oder Präzisionssaatgut die Zusätze nach § 29 Abs. 4,</w:t>
      </w:r>
    </w:p>
    <w:p>
      <w:pPr>
        <w:ind w:left="420"/>
      </w:pPr>
      <w:r>
        <w:t xml:space="preserve">3. bei Handelssaatgut die Angaben nach den Nummern 3.4 bis 3.6,</w:t>
      </w:r>
    </w:p>
    <w:p>
      <w:pPr>
        <w:ind w:left="420"/>
      </w:pPr>
      <w:r>
        <w:t xml:space="preserve">4. bei Saatgutmischungen die Angaben nach den Nummern 4.3 und 4.4 und im Falle des § 29 Abs. 7 Satz 4 die Mischungsbezeichnung.</w:t>
      </w:r>
    </w:p>
    <w:p>
      <w:r>
        <w:t xml:space="preserve">Der Einleger ist nicht erforderlich, wenn ein Etikett aus reißfestem Material, ein Klebeetikett oder ein Aufdrucketikett verwendet wird oder die Angaben nach Satz 1 auf der Packung oder dem Behältnis unverwischbar aufgedruckt sind.</w:t>
      </w:r>
    </w:p>
    <w:p>
      <w:r>
        <w:rPr>
          <w:color w:val="555555"/>
          <w:sz w:val="17"/>
        </w:rPr>
        <w:t xml:space="preserve">Zitiervorschlag: § 31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