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SaatV — Zertifiziertes Saatgut zweiter und dritter Generation</w:t>
      </w:r>
    </w:p>
    <w:p>
      <w:r>
        <w:rPr>
          <w:color w:val="555555"/>
          <w:sz w:val="18"/>
        </w:rPr>
        <w:t xml:space="preserve">Saatgutverordnung</w:t>
      </w:r>
    </w:p>
    <w:p>
      <w:r>
        <w:rPr>
          <w:color w:val="555555"/>
          <w:sz w:val="18"/>
        </w:rPr>
        <w:t xml:space="preserve">Stand: 10.06.2019 (konsolidierte Textfassung, kein amtliches Inkrafttretensdatum)</w:t>
      </w:r>
    </w:p>
    <w:p>
      <w:r>
        <w:t xml:space="preserve">Bei Nackthafer, Hafer, Rauhafer, Gerste, Triticale, Weichweizen, Hartweizen, Spelz, Weißer Lupine, Blauer Lupine, Schmalblättriger Lupine, Gelber Lupine, Futtererbse, Ackerbohne, Pannonischer Wicke, Saatwicke, Zottelwicke, Blauer Luzerne, monözischem Hanf, Sojabohne und Lein darf, außer bei Hybridsorten, Zertifiziertes Saatgut zweiter Generation und bei Lein Zertifiziertes Saatgut dritter Generation anerkannt werden.</w:t>
      </w:r>
    </w:p>
    <w:p>
      <w:r>
        <w:rPr>
          <w:color w:val="555555"/>
          <w:sz w:val="17"/>
        </w:rPr>
        <w:t xml:space="preserve">Zitiervorschlag: § 2a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