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SaatV — Etikett</w:t>
      </w:r>
    </w:p>
    <w:p>
      <w:r>
        <w:rPr>
          <w:color w:val="555555"/>
          <w:sz w:val="18"/>
        </w:rPr>
        <w:t xml:space="preserve">Saatgutverordnung</w:t>
      </w:r>
    </w:p>
    <w:p>
      <w:r>
        <w:rPr>
          <w:color w:val="555555"/>
          <w:sz w:val="18"/>
        </w:rPr>
        <w:t xml:space="preserve">Stand: 10.06.2019 (konsolidierte Textfassung, kein amtliches Inkrafttretensdatum)</w:t>
      </w:r>
    </w:p>
    <w:p>
      <w:r>
        <w:t xml:space="preserve">(1) Vor oder bei der Probenahme nach § 11 Abs. 1, § 24 Abs. 3 Nr. 1 und § 27 Abs. 5 ist jede Packung oder jedes Behältnis des Saatgutes durch den Probenehmer oder unter seiner Aufsicht mit einem Etikett zu kennzeichnen. Als Etikett gilt auch ein Klebeetikett der Anerkennungsstelle.</w:t>
      </w:r>
    </w:p>
    <w:p>
      <w:r>
        <w:t xml:space="preserve">(2) Jede Packung oder jedes Behältnis von Standardsaatgut ist von demjenigen, der das Saatgut als erster zu gewerblichen Zwecken in den Verkehr bringt oder neu verpackt und zu gewerblichen Zwecken in den Verkehr bringt, mit einem Etikett zu kennzeichnen. Bei Standardsaatgut, das in einem anderen Vertragsstaat in der in Rechtsakten der Europäischen Gemeinschaft oder der Europäischen Union bestimmten Form gekennzeichnet und geschlossen worden ist, entfällt diese Verpflichtung für denjenigen, der es, ohne es neu zu verpacken, im Inland zu gewerblichen Zwecken in den Verkehr bringt.</w:t>
      </w:r>
    </w:p>
    <w:p>
      <w:r>
        <w:t xml:space="preserve">(3) Das Etikett muss rechteckig und mindestens 110 x 67 mm groß sein, die jeweilige Kennfarbe haben und als unverwischbaren Aufdruck die jeweiligen Angaben nach Anlage 5 enthalten; sie können auch zusätzlich in anderen Sprachen gemacht werden. Die amtlich zugeteilte Seriennummer wird bei Saatgut nach Anlage 5 Nummer 1 bis 6 von der zuständigen Anerkennungsstelle vergeben. Die Betriebsnummer bei Standardsaatgut (Anlage 5 Nr. 2.3) wird von der Nachkontrollstelle, in deren Bereich der Betrieb liegt, auf Antrag festgesetzt; sie setzt sich zusammen aus den Buchstaben „DE”, einer Zahl und einem dem Kennzeichen der Anerkennungsstelle nach § 14 Abs. 2 entsprechenden Kennzeichen der Nachkontrollstelle. Die Bezugsnummer bei Standardsaatgut (Anlage 5 Nr. 2.6) setzt sich aus der Betriebsnummer, der vom Betrieb festgesetzten Partienummer und den Buchstaben "St" zusammen.</w:t>
      </w:r>
    </w:p>
    <w:p>
      <w:r>
        <w:t xml:space="preserve">(4) Bei Monogermsaatgut und Präzisionssaatgut muss das Etikett zusätzlich die Angabe "Monogermsaatgut" beziehungsweise "Präzisionssaatgut" sowie die angegebenen Ober- und Untergrenzen der Sortierung (Kaliber) enthalten.</w:t>
      </w:r>
    </w:p>
    <w:p>
      <w:r>
        <w:t xml:space="preserve">(5) Bei Hybridsorten muss auf dem Etikett zusätzlich zur Sortenbezeichnung angegeben sein:</w:t>
      </w:r>
    </w:p>
    <w:p>
      <w:pPr>
        <w:ind w:left="420"/>
      </w:pPr>
      <w:r>
        <w:t xml:space="preserve">1. bei Vorstufensaatgut und Basissaatgut die Bezeichnung der Erbkomponente und deren Funktion (mütterlicher oder väterlicher Elternteil),</w:t>
      </w:r>
    </w:p>
    <w:p>
      <w:pPr>
        <w:ind w:left="420"/>
      </w:pPr>
      <w:r>
        <w:t xml:space="preserve">2. bei Zertifiziertem Saatgut die Bezeichnung "Hybride".</w:t>
      </w:r>
    </w:p>
    <w:p>
      <w:r>
        <w:t xml:space="preserve">(5a) Bei Verbundsorten und ihren Komponenten muss das Etikett zusätzlich folgende Angaben enthalten:</w:t>
      </w:r>
    </w:p>
    <w:p>
      <w:pPr>
        <w:ind w:left="420"/>
      </w:pPr>
      <w:r>
        <w:t xml:space="preserve">1. bei der Verbundsorte deren Sortenbezeichnung, die Angabe "Verbundsorte" und die Gewichtsprozentsätze der verschiedenen Komponenten, sofern diese dem Käufer nicht auf Verlangen schriftlich mitgeteilt werden,</w:t>
      </w:r>
    </w:p>
    <w:p>
      <w:pPr>
        <w:ind w:left="420"/>
      </w:pPr>
      <w:r>
        <w:t xml:space="preserve">2. bei Zertifiziertem Saatgut der Komponenten neben der Sortenbezeichnung die Angabe "weibliche Komponente" oder "männliche Komponente" und die Bezeichnung der jeweiligen Verbundsorte.</w:t>
      </w:r>
    </w:p>
    <w:p>
      <w:r>
        <w:t xml:space="preserve">(5b) (weggefallen)</w:t>
      </w:r>
    </w:p>
    <w:p>
      <w:r>
        <w:t xml:space="preserve">(6) Das Etikett kann Angaben enthalten über</w:t>
      </w:r>
    </w:p>
    <w:p>
      <w:pPr>
        <w:ind w:left="420"/>
      </w:pPr>
      <w:r>
        <w:t xml:space="preserve">1. die Keimfähigkeit und das Tausendkorngewicht, soweit diese Eigenschaften amtlich festgestellt worden sind,</w:t>
      </w:r>
    </w:p>
    <w:p>
      <w:pPr>
        <w:ind w:left="420"/>
      </w:pPr>
      <w:r>
        <w:t xml:space="preserve">2. das angegebene Kaliber bei Saatgut von Mais,</w:t>
      </w:r>
    </w:p>
    <w:p>
      <w:pPr>
        <w:ind w:left="420"/>
      </w:pPr>
      <w:r>
        <w:t xml:space="preserve">3. die Zahl der höchstens vorgesehenen Generationen bis zum Zertifizierten Saatgut bei anerkanntem Vorstufensaatgut.</w:t>
      </w:r>
    </w:p>
    <w:p>
      <w:r>
        <w:t xml:space="preserve">(7) Bei Saatgutmischungen muss das Etikett für jeden Bestandteil zusätzlich folgende Angaben enthalten:</w:t>
      </w:r>
    </w:p>
    <w:p>
      <w:pPr>
        <w:ind w:left="420"/>
      </w:pPr>
      <w:r>
        <w:t xml:space="preserve">1. die Art, bei Festulolium (Festuca spp. x Lolium spp.) die Namen der Arten innerhalb der Gattungen Festuca und Lolium,</w:t>
      </w:r>
    </w:p>
    <w:p>
      <w:pPr>
        <w:ind w:left="420"/>
      </w:pPr>
      <w:r>
        <w:t xml:space="preserve">2. bei anerkanntem Saatgut und Standardsaatgut die Sortenbezeichnung,</w:t>
      </w:r>
    </w:p>
    <w:p>
      <w:pPr>
        <w:ind w:left="420"/>
      </w:pPr>
      <w:r>
        <w:t xml:space="preserve">3. den Anteil in vom Hundert des Gewichtes.</w:t>
      </w:r>
    </w:p>
    <w:p>
      <w:r>
        <w:t xml:space="preserve">Enthält die Saatgutmischung Saatgut einer Art, die nicht im Artenverzeichnis aufgeführt ist, mit einem Anteil von mehr als 3 vom Hundert des Gewichtes, so sind für diese Art auch die Reinheit in vom Hundert des Gewichtes und die Keimfähigkeit in vom Hundert der reinen Körner anzugeben. Die Angaben nach den Sätzen 1 und 2 können auch auf der Rückseite des Etikettes, die Angaben nach Satz 2 auch auf einem Zusatzetikett gemacht werden. Anstelle der Angaben nach den Sätzen 1 und 2 kann auf dem Etikett eine Mischungsbezeichnung angegeben werden, wenn die Angaben bei der in § 27 Abs. 1 Satz 1 bezeichneten Anerkennungsstelle niedergelegt sind und auf jeder Packung aufgedruckt, auf einem Zusatzetikett vermerkt oder in einem jeder Packung oder jedem Behältnis beigegebenen Begleitpapier enthalten sind. Satz 4 gilt nicht für Saatgutmischungen von Gemüsesorten einer Gemüseart.</w:t>
      </w:r>
    </w:p>
    <w:p>
      <w:r>
        <w:t xml:space="preserve">(8) Bei Saatgutmischungen, die Saatgut enthalten, dessen Inverkehrbringen zu gewerblichen Zwecken durch Rechtsverordnung nach § 11 Abs. 2 oder 3 des Saatgutverkehrsgesetzes nur befristet gestattet ist, ist zusätzlich diese Frist anzugeben mit dem Hinweis, dass die Saatgutmischung nur während dieser Frist zu gewerblichen Zwecken in den Verkehr gebracht werden darf.</w:t>
      </w:r>
    </w:p>
    <w:p>
      <w:r>
        <w:t xml:space="preserve">(9) Auf Antrag kann die Anerkennungsstelle Etiketten ausgeben, auf denen eine laufende Nummer, ein Abdruck ihres Siegels oder beides aufgedruckt ist.</w:t>
      </w:r>
    </w:p>
    <w:p>
      <w:r>
        <w:rPr>
          <w:color w:val="555555"/>
          <w:sz w:val="17"/>
        </w:rPr>
        <w:t xml:space="preserve">Zitiervorschlag: § 29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