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SaatV — Gestattung des Inverkehrbringens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Saatgutmischungen dürfen, soweit sich aus den Absätzen 2 bis 5 keine Einschränkungen ergeben, zu gewerblichen Zwecken in den Verkehr gebracht werden, wenn</w:t>
      </w:r>
    </w:p>
    <w:p>
      <w:pPr>
        <w:ind w:left="420"/>
      </w:pPr>
      <w:r>
        <w:t xml:space="preserve">1. sie im Inland hergestellt worden sind und für ihre Herstellung eine Mischungsnummer nach § 27 erteilt ist oder</w:t>
      </w:r>
    </w:p>
    <w:p>
      <w:pPr>
        <w:ind w:left="420"/>
      </w:pPr>
      <w:r>
        <w:t xml:space="preserve">2. sie in einem anderen Vertragsstaat hergestellt worden sind und kein Saatgut enthalten, das seiner Sorte oder Kategorie nach im Inland nicht zu gewerblichen Zwecken in den Verkehr gebracht werden darf.</w:t>
      </w:r>
    </w:p>
    <w:p>
      <w:r>
        <w:t xml:space="preserve">(2) Saatgutmischungen dürfen zu gewerblichen Zwecken nur in den Verkehr gebracht werden, wenn der Aufwuchs</w:t>
      </w:r>
    </w:p>
    <w:p>
      <w:pPr>
        <w:ind w:left="420"/>
      </w:pPr>
      <w:r>
        <w:t xml:space="preserve">1. zur Körnererzeugung bestimmt ist und die Mischung nur Saatgut von Getreide oder Leguminosen landwirtschaftlicher Arten enthält;</w:t>
      </w:r>
    </w:p>
    <w:p>
      <w:pPr>
        <w:ind w:left="420"/>
      </w:pPr>
      <w:r>
        <w:t xml:space="preserve">2. zur Futternutzung außer Körnernutzung bestimmt ist und die Mischung nur Saatgut von Getreide, Futterpflanzen, Öl- und Faserpflanzen oder Gemüsearten enthält, jedoch kein Saatgut von Gräsersorten,</w:t>
      </w:r>
    </w:p>
    <w:p>
      <w:pPr>
        <w:ind w:left="780"/>
      </w:pPr>
      <w:r>
        <w:t xml:space="preserve">a) bei denen der Aufwuchs nicht zur Nutzung als Futterpflanze bestimmt ist oder</w:t>
      </w:r>
    </w:p>
    <w:p>
      <w:pPr>
        <w:ind w:left="780"/>
      </w:pPr>
      <w:r>
        <w:t xml:space="preserve">b) die in dem gemeinsamen Sortenkatalog für landwirtschaftliche Pflanzenarten als "nicht zur Nutzung als Futterpflanze bestimmt" bezeichnet sind.</w:t>
      </w:r>
    </w:p>
    <w:p>
      <w:r>
        <w:t xml:space="preserve">(3) Saatgutmischungen für die in Absatz 2 genannten Verwendungszwecke dürfen ferner zu gewerblichen Zwecken nur in den Verkehr gebracht werden, wenn</w:t>
      </w:r>
    </w:p>
    <w:p>
      <w:pPr>
        <w:ind w:left="420"/>
      </w:pPr>
      <w:r>
        <w:t xml:space="preserve">1. sie nur Saatgut von im Artenverzeichnis aufgeführten Arten enthalten und</w:t>
      </w:r>
    </w:p>
    <w:p>
      <w:pPr>
        <w:ind w:left="420"/>
      </w:pPr>
      <w:r>
        <w:t xml:space="preserve">2. das Saatgut vor dem Mischen anerkannt oder als Handelssaatgut zugelassen worden war oder als Standardsaatgut oder Behelfssaatgut zu gewerblichen Zwecken in den Verkehr gebracht werden durfte.</w:t>
      </w:r>
    </w:p>
    <w:p>
      <w:r>
        <w:t xml:space="preserve">Saatgutmischungen für andere als die in Absatz 2 genannten Verwendungszwecke dürfen jedoch zu gewerblichen Zwecken auch in den Verkehr gebracht werden, wenn sie Saatgut von im Artenverzeichnis nicht aufgeführten Arten enthalten, sofern sie die Anforderungen der Anlage 3 Nummer 8 erfüllen. Satz 1 Nummer 2 gilt für diese Saatgutmischungen entsprechend, sofern sie Saatgut von im Artenverzeichnis aufgeführten Arten enthalten.</w:t>
      </w:r>
    </w:p>
    <w:p>
      <w:r>
        <w:t xml:space="preserve">(3a) Saatgutmischungen von Gemüsesorten dürfen zu gewerblichen Zwecken nur in den Verkehr gebracht werden, wenn sie</w:t>
      </w:r>
    </w:p>
    <w:p>
      <w:pPr>
        <w:ind w:left="420"/>
      </w:pPr>
      <w:r>
        <w:t xml:space="preserve">1. Saatgut von Gemüsesorten einer Gemüseart enthalten und</w:t>
      </w:r>
    </w:p>
    <w:p>
      <w:pPr>
        <w:ind w:left="420"/>
      </w:pPr>
      <w:r>
        <w:t xml:space="preserve">2. in Kleinpackungen nach § 40 abgegeben werden.</w:t>
      </w:r>
    </w:p>
    <w:p>
      <w:r>
        <w:t xml:space="preserve">(4) Saatgutmischungen, die Saatgut enthalten, dessen Inverkehrbringen zu gewerblichen Zwecken durch Rechtsverordnung nach § 11 Abs. 2 oder 3 des Saatgutverkehrsgesetzes nur befristet gestattet ist, dürfen nur innerhalb dieser Frist zu gewerblichen Zwecken in den Verkehr gebracht werden.</w:t>
      </w:r>
    </w:p>
    <w:p>
      <w:r>
        <w:t xml:space="preserve">(5) Saatgutmischungen, die nur Saatgut von Rüben enthalten, dürfen nicht zu gewerblichen Zwecken in den Verkehr gebracht werden.</w:t>
      </w:r>
    </w:p>
    <w:p>
      <w:r>
        <w:rPr>
          <w:color w:val="555555"/>
          <w:sz w:val="17"/>
        </w:rPr>
        <w:t xml:space="preserve">Zitiervorschlag: § 26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