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SaatV — Zulassungsverfahren</w:t>
      </w:r>
    </w:p>
    <w:p>
      <w:r>
        <w:rPr>
          <w:color w:val="555555"/>
          <w:sz w:val="18"/>
        </w:rPr>
        <w:t xml:space="preserve">Saatgutverordnung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Antrag auf Zulassung ist bei der Anerkennungsstelle zu stellen, in deren Bereich das Saatgut lagert.</w:t>
      </w:r>
    </w:p>
    <w:p>
      <w:r>
        <w:t xml:space="preserve">(2) Für den Antrag ist ein Vordruck der Anerkennungsstelle zu verwenden.</w:t>
      </w:r>
    </w:p>
    <w:p>
      <w:r>
        <w:t xml:space="preserve">(3) Im Übrigen gelten für das Verfahren der Zulassung folgende Vorschriften entsprechend:</w:t>
      </w:r>
    </w:p>
    <w:p>
      <w:pPr>
        <w:ind w:left="420"/>
      </w:pPr>
      <w:r>
        <w:t xml:space="preserve">1. für die Probenahme einschließlich des Höchstgewichtes einer Partie und des Mindestgewichtes oder der Mindestmenge der Probe § 11 Abs. 1 bis 4 Nr. 1,</w:t>
      </w:r>
    </w:p>
    <w:p>
      <w:pPr>
        <w:ind w:left="420"/>
      </w:pPr>
      <w:r>
        <w:t xml:space="preserve">2. für die Beschaffenheitsprüfung § 12 Abs. 1 und 2,</w:t>
      </w:r>
    </w:p>
    <w:p>
      <w:pPr>
        <w:ind w:left="420"/>
      </w:pPr>
      <w:r>
        <w:t xml:space="preserve">3. für die Mitteilung des Ergebnisses der Beschaffenheitsprüfung § 13.</w:t>
      </w:r>
    </w:p>
    <w:p>
      <w:r>
        <w:rPr>
          <w:color w:val="555555"/>
          <w:sz w:val="17"/>
        </w:rPr>
        <w:t xml:space="preserve">Zitiervorschlag: § 24 SaatV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https://recht.nulegal.eu/gesetze/SaatV/24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