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SaatV — Gestattung des Inverkehrbringens</w:t>
      </w:r>
    </w:p>
    <w:p>
      <w:r>
        <w:rPr>
          <w:color w:val="555555"/>
          <w:sz w:val="18"/>
        </w:rPr>
        <w:t xml:space="preserve">Saatgutverordnung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Handelssaatgut folgender Arten darf nach Zulassung zu gewerblichen Zwecken in den Verkehr gebracht werden:</w:t>
      </w:r>
    </w:p>
    <w:p>
      <w:pPr>
        <w:ind w:left="420"/>
      </w:pPr>
      <w:r>
        <w:t xml:space="preserve">1. Leguminosen:Esparsette,Pannonische Wicke;</w:t>
      </w:r>
    </w:p>
    <w:p>
      <w:pPr>
        <w:ind w:left="420"/>
      </w:pPr>
      <w:r>
        <w:t xml:space="preserve">2. Öl- und Faserpflanzen:Schwarzer Senf.</w:t>
      </w:r>
    </w:p>
    <w:p>
      <w:r>
        <w:rPr>
          <w:color w:val="555555"/>
          <w:sz w:val="17"/>
        </w:rPr>
        <w:t xml:space="preserve">Zitiervorschlag: § 22 SaatV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https://recht.nulegal.eu/gesetze/SaatV/22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