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SaatV — Anforderungen an die Sortenreinheit und Beschaffenheit, Höchstgewicht einer Partie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Anforderungen an die Sortenreinheit des Standardsaatgutes ergeben sich aus Anlage 2 Nummer 7.1.</w:t>
      </w:r>
    </w:p>
    <w:p>
      <w:r>
        <w:t xml:space="preserve">(2) Die Anforderungen an die Beschaffenheit des Standardsaatgutes ergeben sich aus Anlage 3 Nummer 7.</w:t>
      </w:r>
    </w:p>
    <w:p>
      <w:r>
        <w:t xml:space="preserve">(3) Das Höchstgewicht einer Partie ergibt sich aus Anlage 4.</w:t>
      </w:r>
    </w:p>
    <w:p>
      <w:r>
        <w:rPr>
          <w:color w:val="555555"/>
          <w:sz w:val="17"/>
        </w:rPr>
        <w:t xml:space="preserve">Zitiervorschlag: § 20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