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SaatEinfMeldV</w:t>
      </w:r>
    </w:p>
    <w:p>
      <w:r>
        <w:rPr>
          <w:color w:val="555555"/>
          <w:sz w:val="18"/>
        </w:rPr>
        <w:t xml:space="preserve">Verordnung über die Meldung und Vorführung von Saatgut bei der Einfuhr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28 Abs. 3 des Saatgutverkehrsgesetzes vom 20. Mai 1968 (Bundesgesetzbl. I S. 444) in der Fassung der Bekanntmachung vom 23. Juni 1975 (Bundesgesetzbl. I S. 1453) wird im Einvernehmen mit dem Bundesminister der Finanzen mit Zustimmung des Bundesrates verordnet:</w:t>
      </w:r>
    </w:p>
    <w:p>
      <w:r>
        <w:rPr>
          <w:color w:val="555555"/>
          <w:sz w:val="17"/>
        </w:rPr>
        <w:t xml:space="preserve">Zitiervorschlag: Eingangsformel SaatEinfMeldV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https://recht.nulegal.eu/gesetze/SaatEinfMeldV/eingangsformel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