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SaatEinfMeldV — Einfuhranzeige</w:t>
      </w:r>
    </w:p>
    <w:p>
      <w:r>
        <w:rPr>
          <w:color w:val="555555"/>
          <w:sz w:val="18"/>
        </w:rPr>
        <w:t xml:space="preserve">Verordnung über die Meldung und Vorführung von Saatgut bei der Einfuhr</w:t>
      </w:r>
    </w:p>
    <w:p>
      <w:r>
        <w:rPr>
          <w:color w:val="555555"/>
          <w:sz w:val="18"/>
        </w:rPr>
        <w:t xml:space="preserve">Stand: 10.06.2019 (konsolidierte Textfassung, kein amtliches Inkrafttretensdatum)</w:t>
      </w:r>
    </w:p>
    <w:p>
      <w:r>
        <w:t xml:space="preserve">(1) Unter das Saatgutverkehrsgesetz fallendes Saatgut darf nur eingeführt werden, wenn der Einführer die Absicht der Einfuhr der Bundesanstalt für Landwirtschaft und Ernährung (Bundesanstalt) durch Abgabe einer Einfuhranzeige gemeldet und die Bundesanstalt die Einfuhranzeige mit einem numerierten Bestätigungsvermerk versehen hat, aus dem hervorgeht, ob die Voraussetzungen des § 23 des Saatgutverkehrsgesetzes erfüllt sind. Dies gilt nicht für</w:t>
      </w:r>
    </w:p>
    <w:p>
      <w:pPr>
        <w:ind w:left="420"/>
      </w:pPr>
      <w:r>
        <w:t xml:space="preserve">1. Saatgut aus Vertragsstaaten,</w:t>
      </w:r>
    </w:p>
    <w:p>
      <w:pPr>
        <w:ind w:left="420"/>
      </w:pPr>
      <w:r>
        <w:t xml:space="preserve">2. Saatgut außer Kartoffelpflanzgut, wenn die einzuführende Saatgutmenge 2 kg nicht übersteigt.</w:t>
      </w:r>
    </w:p>
    <w:p>
      <w:r>
        <w:t xml:space="preserve">(2) Die Einfuhranzeige muß dem von der Bundesanstalt im Bundesanzeiger bekanntgemachten Muster entsprechen.</w:t>
      </w:r>
    </w:p>
    <w:p>
      <w:r>
        <w:rPr>
          <w:color w:val="555555"/>
          <w:sz w:val="17"/>
        </w:rPr>
        <w:t xml:space="preserve">Zitiervorschlag: § 1 SaatEinfMeldV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https://recht.nulegal.eu/gesetze/SaatEinfMeldV/1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