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SaatAufzV</w:t>
      </w:r>
    </w:p>
    <w:p>
      <w:r>
        <w:rPr>
          <w:color w:val="555555"/>
          <w:sz w:val="18"/>
        </w:rPr>
        <w:t xml:space="preserve">Saatgutaufzeichnungsverordnung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27 Satz 2 des Saatgutverkehrsgesetzes vom 20. August 1985 (BGBl. I S. 1633) wird mit Zustimmung des Bundesrates verordnet:</w:t>
      </w:r>
    </w:p>
    <w:p>
      <w:r>
        <w:rPr>
          <w:color w:val="555555"/>
          <w:sz w:val="17"/>
        </w:rPr>
        <w:t xml:space="preserve">Zitiervorschlag: Eingangsformel SaatAufzV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https://recht.nulegal.eu/gesetze/SaatAufzV/eingangsformel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