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SaRegG — Zweckbindung bei personenbezogenen Daten</w:t>
      </w:r>
    </w:p>
    <w:p>
      <w:r>
        <w:rPr>
          <w:color w:val="555555"/>
          <w:sz w:val="18"/>
        </w:rPr>
        <w:t xml:space="preserve">Samenspenderregistergesetz</w:t>
      </w:r>
    </w:p>
    <w:p>
      <w:r>
        <w:rPr>
          <w:color w:val="555555"/>
          <w:sz w:val="18"/>
        </w:rPr>
        <w:t xml:space="preserve">Stand: 07.07.2020 (konsolidierte Textfassung, kein amtliches Inkrafttretensdatum)</w:t>
      </w:r>
    </w:p>
    <w:p>
      <w:r>
        <w:t xml:space="preserve">(1) Es dürfen</w:t>
      </w:r>
    </w:p>
    <w:p>
      <w:pPr>
        <w:ind w:left="420"/>
      </w:pPr>
      <w:r>
        <w:t xml:space="preserve">1. die Entnahmeeinrichtungen, die Einrichtungen der medizinischen Versorgung und</w:t>
      </w:r>
    </w:p>
    <w:p>
      <w:pPr>
        <w:ind w:left="420"/>
      </w:pPr>
      <w:r>
        <w:t xml:space="preserve">2. das Bundesinstitut für Arzneimittel und Medizinprodukte</w:t>
      </w:r>
    </w:p>
    <w:p>
      <w:r>
        <w:t xml:space="preserve">die nach § 2 Absatz 2 Satz 1 und § 2 Absatz 3 Satz 1, § 5 Absatz 2 bis 4 oder § 7 Absatz 4 Satz 1 und 3 erhobenen personenbezogenen Daten ausschließlich für den in § 1 Absatz 2 Satz 1 genannten Zweck verwenden.</w:t>
      </w:r>
    </w:p>
    <w:p>
      <w:r>
        <w:t xml:space="preserve">(2) Für Entnahmeeinrichtungen und Einrichtungen der medizinischen Versorgung gilt § 7 Absatz 1 und 5 entsprechend.</w:t>
      </w:r>
    </w:p>
    <w:p>
      <w:r>
        <w:rPr>
          <w:color w:val="555555"/>
          <w:sz w:val="17"/>
        </w:rPr>
        <w:t xml:space="preserve">Zitiervorschlag: § 9 SaRegG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https://recht.nulegal.eu/gesetze/SaRegG/9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