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SaRegG — Pflichten der Entnahmeeinrichtung bei der Abgabe von Samen zur heterologen Verwendung für eine künstliche Befruchtung</w:t>
      </w:r>
    </w:p>
    <w:p>
      <w:r>
        <w:rPr>
          <w:color w:val="555555"/>
          <w:sz w:val="18"/>
        </w:rPr>
        <w:t xml:space="preserve">Samenspenderregistergesetz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(1) Die Entnahmeeinrichtung darf Samen zur heterologen Verwendung nur an eine Einrichtung der medizinischen Versorgung im Sinne des § 1a Nummer 13 des Transplantationsgesetzes (Einrichtung der medizinischen Versorgung) und nur abgeben, wenn die Voraussetzung nach § 2 Absatz 1 Satz 2 erfüllt ist.</w:t>
      </w:r>
    </w:p>
    <w:p>
      <w:r>
        <w:t xml:space="preserve">(2) Bei der Abgabe des Samens zur heterologen Verwendung für eine ärztlich unterstützte künstliche Befruchtung hat die Entnahmeeinrichtung der Einrichtung der medizinischen Versorgung die Spendenkennungssequenz oder die eindeutige Spendennummer zu übermitteln.</w:t>
      </w:r>
    </w:p>
    <w:p>
      <w:r>
        <w:rPr>
          <w:color w:val="555555"/>
          <w:sz w:val="17"/>
        </w:rPr>
        <w:t xml:space="preserve">Zitiervorschlag: § 3 SaRegG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https://recht.nulegal.eu/gesetze/SaRegG/3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