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SaRegG — Auskunfts- und Berichtigungsansprüche</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Dem Samenspender steht ein Auskunfts- und Berichtigungsanspruch gegenüber dem Bundesinstitut für Arzneimittel und Medizinprodukte nur hinsichtlich seiner nach § 2 Absatz 2 Satz 1 und Absatz 3 Satz 1 im Samenspenderregister gespeicherten Daten zu.</w:t>
      </w:r>
    </w:p>
    <w:p>
      <w:r>
        <w:t xml:space="preserve">(2) Der Empfängerin der Samenspende steht ein Auskunfts- und Berichtigungsanspruch gegenüber dem Bundesinstitut für Arzneimittel und Medizinprodukte nur hinsichtlich ihrer nach § 5 Absatz 2 Satz 1, Absatz 3 bis 5 gespeicherten Daten zu. Wenn die heterologe Verwendung von Samen für eine ärztlich unterstützte künstliche Befruchtung nicht zur Geburt eines Kindes geführt hat, hat die Empfängerin der Samenspende gegenüber dem Bundesinstitut für Arzneimittel und Medizinprodukte einen Anspruch auf Löschung ihrer nach § 5 Absatz 2 und 3 gespeicherten Daten.</w:t>
      </w:r>
    </w:p>
    <w:p>
      <w:r>
        <w:rPr>
          <w:color w:val="555555"/>
          <w:sz w:val="17"/>
        </w:rPr>
        <w:t xml:space="preserve">Zitiervorschlag: § 11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