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SaFoG (Sachsen) — Jahresrechnung</w:t>
      </w:r>
    </w:p>
    <w:p>
      <w:r>
        <w:rPr>
          <w:color w:val="555555"/>
          <w:sz w:val="18"/>
        </w:rPr>
        <w:t xml:space="preserve">Sachsenfonds-Gesetz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Fondsverwalter stellt zum Schluss des Wirtschaftsjahres die Jahresrechnung für den Fonds auf und fügt sie als Anhang der Haushaltsrechnung des Freistaates Sachsen bei.</w:t>
      </w:r>
    </w:p>
    <w:p>
      <w:r>
        <w:t xml:space="preserve">(2) Die Jahresrechnung enthält die Einnahmen und Ausgaben sowie den Bestand des Fonds.</w:t>
      </w:r>
    </w:p>
    <w:p>
      <w:r>
        <w:t xml:space="preserve">(3) Die Jahresrechnung unterliegt der Prüfung durch den Sächsischen Rechnungshof.</w:t>
      </w:r>
    </w:p>
    <w:p>
      <w:r>
        <w:rPr>
          <w:color w:val="555555"/>
          <w:sz w:val="17"/>
        </w:rPr>
        <w:t xml:space="preserve">Zitiervorschlag: § 7 SaFoG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https://recht.nulegal.eu/gesetze/SaFoG/7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