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SaFoG (Sachsen) — Beteiligung des Haushalts- und Finanzausschusses des Landtages</w:t>
      </w:r>
    </w:p>
    <w:p>
      <w:r>
        <w:rPr>
          <w:color w:val="555555"/>
          <w:sz w:val="18"/>
        </w:rPr>
        <w:t xml:space="preserve">Sachsenfonds-Gesetz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Ausgaben für Maßnahmen nach § 2 Absatz 1, die einen Betrag von 12,5 Millionen Euro überschreiten, bedürfen der Einwilligung des Haushalts- und Finanzausschusses des Landtages.</w:t>
      </w:r>
    </w:p>
    <w:p>
      <w:r>
        <w:t xml:space="preserve">(2) Der Fondsverwalter berichtet dem Haushalts- und Finanzausschuss des Landtages jährlich über den Vollzug des Gesetzes.</w:t>
      </w:r>
    </w:p>
    <w:p>
      <w:r>
        <w:rPr>
          <w:color w:val="555555"/>
          <w:sz w:val="17"/>
        </w:rPr>
        <w:t xml:space="preserve">Zitiervorschlag: § 6 SaFoG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https://recht.nulegal.eu/gesetze/SaFoG/6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