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SaFoG (Sachsen) — Errichtung des Fonds</w:t>
      </w:r>
    </w:p>
    <w:p>
      <w:r>
        <w:rPr>
          <w:color w:val="555555"/>
          <w:sz w:val="18"/>
        </w:rPr>
        <w:t xml:space="preserve">Sachsenfonds-Gesetz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errichtet einen Fonds „Sachsenfonds“ als Sondervermögen.</w:t>
      </w:r>
    </w:p>
    <w:p>
      <w:r>
        <w:rPr>
          <w:color w:val="555555"/>
          <w:sz w:val="17"/>
        </w:rPr>
        <w:t xml:space="preserve">Zitiervorschlag: § 1 SaFoG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https://recht.nulegal.eu/gesetze/SaFoG/1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