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SaAusbV 2005 — Ausbildungsdauer</w:t>
      </w:r>
    </w:p>
    <w:p>
      <w:r>
        <w:rPr>
          <w:color w:val="555555"/>
          <w:sz w:val="18"/>
        </w:rPr>
        <w:t xml:space="preserve">Verordnung über die Berufsausbildung zum Sattler/zur Sattlerin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 Es kann zwischen den Fachrichtungen</w:t>
      </w:r>
    </w:p>
    <w:p>
      <w:pPr>
        <w:ind w:left="420"/>
      </w:pPr>
      <w:r>
        <w:t xml:space="preserve">1. Fahrzeugsattlerei,</w:t>
      </w:r>
    </w:p>
    <w:p>
      <w:pPr>
        <w:ind w:left="420"/>
      </w:pPr>
      <w:r>
        <w:t xml:space="preserve">2. Reitsportsattlerei und</w:t>
      </w:r>
    </w:p>
    <w:p>
      <w:pPr>
        <w:ind w:left="420"/>
      </w:pPr>
      <w:r>
        <w:t xml:space="preserve">3. Feintäschnerei</w:t>
      </w:r>
    </w:p>
    <w:p>
      <w:r>
        <w:t xml:space="preserve">gewählt werden.</w:t>
      </w:r>
    </w:p>
    <w:p>
      <w:r>
        <w:rPr>
          <w:color w:val="555555"/>
          <w:sz w:val="17"/>
        </w:rPr>
        <w:t xml:space="preserve">Zitiervorschlag: § 2 SaAusbV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https://recht.nulegal.eu/gesetze/SaAusbV%202005/2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