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SaAusbV 2005 — Inkrafttreten, Außerkrafttreten</w:t>
      </w:r>
    </w:p>
    <w:p>
      <w:r>
        <w:rPr>
          <w:color w:val="555555"/>
          <w:sz w:val="18"/>
        </w:rPr>
        <w:t xml:space="preserve">Verordnung über die Berufsausbildung zum Sattler/zur Sattlerin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2005 in Kraft.</w:t>
      </w:r>
    </w:p>
    <w:p>
      <w:r>
        <w:rPr>
          <w:color w:val="555555"/>
          <w:sz w:val="17"/>
        </w:rPr>
        <w:t xml:space="preserve">Zitiervorschlag: § 14 SaAusbV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https://recht.nulegal.eu/gesetze/SaAusbV%202005/14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