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SZAG — Verordnungsermächtigung</w:t>
      </w:r>
    </w:p>
    <w:p>
      <w:r>
        <w:rPr>
          <w:color w:val="555555"/>
          <w:sz w:val="18"/>
        </w:rPr>
        <w:t xml:space="preserve">Sanktionszahlungs-Aufteilungsgesetz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wird ermächtigt, durch Rechtsverordnung mit Zustimmung des Bundesrates die Höhe der Anteile gemäß § 2 Abs. 1 und § 4 festzustellen sowie die Zahlungsmodalitäten und sonstige Einzelheiten im Zusammenhang mit der Durchführung dieses Gesetzes zu bestimmen.</w:t>
      </w:r>
    </w:p>
    <w:p>
      <w:r>
        <w:rPr>
          <w:color w:val="555555"/>
          <w:sz w:val="17"/>
        </w:rPr>
        <w:t xml:space="preserve">Zitiervorschlag: § 5 SZAG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