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SZAG — Grundlagen</w:t>
      </w:r>
    </w:p>
    <w:p>
      <w:r>
        <w:rPr>
          <w:color w:val="555555"/>
          <w:sz w:val="18"/>
        </w:rPr>
        <w:t xml:space="preserve">Sanktionszahlungs-Aufteilungsgesetz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Berechnung des Länderanteils an Sanktionszahlungen gemäß § 2 Abs. 1 Satz 2 sind die Einwohnerzahlen maßgebend, die das Statistische Bundesamt zum 30. Juni des dem Beschluss des Rates gemäß § 1 Satz 3 vorausgehenden Kalenderjahres (Anlastungsjahr) festgestellt hat.</w:t>
      </w:r>
    </w:p>
    <w:p>
      <w:r>
        <w:t xml:space="preserve">(2) Maßgeblich für die Höhe der Finanzierungssalden der Länder einschließlich der Gemeinden und Gemeindeverbände gemäß § 2 Abs. 1 Satz 3 ist, bei Geldbußen gemäß § 1 Satz 1 vorbehaltlich der endgültigen Ergebnisse der amtlichen Rechnungsstatistik, das Ergebnis der amtlichen Vierteljahresstatistik des Statistischen Bundesamtes zu den öffentlichen Haushalten zum 31. Dezember des Anlastungsjahres.</w:t>
      </w:r>
    </w:p>
    <w:p>
      <w:r>
        <w:rPr>
          <w:color w:val="555555"/>
          <w:sz w:val="17"/>
        </w:rPr>
        <w:t xml:space="preserve">Zitiervorschlag: § 3 SZAG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