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SWSchulV (Brandenburg) — Serbske šule z wósebnym charakterom</w:t>
      </w:r>
    </w:p>
    <w:p>
      <w:r>
        <w:rPr>
          <w:color w:val="555555"/>
          <w:sz w:val="18"/>
        </w:rPr>
        <w:t xml:space="preserve">Sorben/Wenden-Schulverordnung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Serbske šule mógu se organizěrowaś ako šule z wósebnym charakterom (specialne šule) pó § 8a Bramborskeje šulskeje kazni. Pśizwólenje za to dawa za šulu zagronity cłonk krajnego kněžaŕstwa. Wobźělenje na wucbje w pśedmjaśe serbšćina abo na wucbje serbšćina ako cuza rěc jo za wuknice a wuknikow winowatosć. W pśedmjatach, kótarež deje se póstajiś, ma se wuwucowaś w dolnoserbskej rěcy.</w:t>
      </w:r>
    </w:p>
    <w:p>
      <w:r>
        <w:t xml:space="preserve">(2) W serbskich specialnych šulach se dolnoserbska rěc wužywa zwenka wucby a z rosćecym rěcnym wuzamóžnjenim wuknicow a wuknikow w pśiběrajucej měrje ako wobchadna rěc w šuli. Pśedewšym wobzamknjenja ceptaŕskeje a šulskeje konference a wopowěsći deje se spisaś w nimskej a serbskej rěcy.</w:t>
      </w:r>
    </w:p>
    <w:p>
      <w:r>
        <w:t xml:space="preserve">(3) Na serbskich specialnych šulach deje se zasajźiś ceptaŕki a ceptarje, kótarež serbsku rěc derje wuměju. Jo-lic njejo to pśi pśistajenju a pśesajźenju zarucone, deje wóni trjebne rěcne znaśa w běgu tśich lět wót zachopjeńka źěła na jadnej specialnej šuli sebje pśiswójś a dopokazaś.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SWSchulV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https://recht.nulegal.eu/gesetze/SWSchulV/7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