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SWSchulV (Brandenburg) — Dolnoserbska rěc w dalšnych pśedmjatach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We wšyknych lětnikach a kubłańskich pśeběgach móžo se w pśedmjatach, kótarež se maju póstajiś, w dolnoserbskej rěcy wuwucowaś. Šulska wjednica abo wjednik rozsuźijo na zakłaźe wobzamknjenjow konference ceptaŕkow a ceptarjow, pó napšašowanju fachoweje konference, wó slědujucem nałožowanju dolnoserbskeje rěcy ako powšykna a fachowa rěc:</w:t>
      </w:r>
    </w:p>
    <w:p>
      <w:r>
        <w:t xml:space="preserve">jadnorěcnje dolnoserbski</w:t>
      </w:r>
    </w:p>
    <w:p>
      <w:r>
        <w:t xml:space="preserve">bilingualnje pśewažnje w dolnoserbskej rěcy a</w:t>
      </w:r>
    </w:p>
    <w:p>
      <w:r>
        <w:t xml:space="preserve">we formje bilingualnych modulow w pśedmjaśe.</w:t>
      </w:r>
    </w:p>
    <w:p>
      <w:r>
        <w:t xml:space="preserve">(2) Jo-lic jaden pśedmjat dej se stawnje jadnorěcnje dolnoserbski wuwucowaś, jo za to trjeba pśizwólenje statnego šulskego amta.</w:t>
      </w:r>
    </w:p>
    <w:p>
      <w:r>
        <w:t xml:space="preserve">(3) Ako wuměnjenje za wobźělenje na wucbje w zmysle pódstawka 1 deje wuknice a wukniki wobsejźeś dosegajuce znaśa w dolnoserbskej rěcy. Rozsuźijo wó tom fachowa konferenca abo w pśedmjaśe wuwucujuca ceptaŕka abo ceptaŕ.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