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SWSchulV (Brandenburg) — Serbšćina ako cuzorěcna wucba</w:t>
      </w:r>
    </w:p>
    <w:p>
      <w:r>
        <w:rPr>
          <w:color w:val="555555"/>
          <w:sz w:val="18"/>
        </w:rPr>
        <w:t xml:space="preserve">Sorben/Wenden-Schulverordnung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Serbšćina ako cuzorěcna wucba jo k tomu, aby zakłady kompetencow powědanja, rozmějucego słyšanja, pisanja a cytanja nawuknuli, wutwarjali, dalej wuwijali a pódłymjowali.</w:t>
      </w:r>
    </w:p>
    <w:p>
      <w:r>
        <w:t xml:space="preserve">(2) Serbšćina ako cuzorěcna wucba móžo pśi małych kupkach a felujucych ceptaŕkach a ceptarjach se organizěrowaś lětniki pśesegajucy pśez gromadu zestajenje dweju zasobu slědujuceju lětnikowu. To njepłaśi za gymnazialny wušy schójźeńk. W lětnikoma 1 a 2 dejali se lětniki pśesegajuceje wucby wobijaś. Pśi lětniki pśesegajucej wucbje musy se pó nutśikownem diferencěrowanju rozwucowaś.</w:t>
      </w:r>
    </w:p>
    <w:p>
      <w:r>
        <w:t xml:space="preserve">(3) Spušćijo-li wuknica abo wuknik pó nanejmjenjej styrich lětach wucby w pśedmjaśe serbšćina abo serbšćina ako cuzorěcna wucba serbsku specialnu šulu, pótom wuknica abo wuknik dostanjo wobtwarźenje wó dojśpjonem rěcnem niwowje pó „Zgromadnem europskem referencowem ramiku za rěcy (GER)“ na wopismje.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SWSchulV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https://recht.nulegal.eu/gesetze/SWSchulV/4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