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SWSchulV (Brandenburg) — Wucba w pśedmjaśe serbšćina</w:t>
      </w:r>
    </w:p>
    <w:p>
      <w:r>
        <w:rPr>
          <w:color w:val="555555"/>
          <w:sz w:val="18"/>
        </w:rPr>
        <w:t xml:space="preserve">Sorben/Wenden-Schulverordnung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Pśedmjat serbšćina móžo se pórucyś</w:t>
      </w:r>
    </w:p>
    <w:p>
      <w:r>
        <w:t xml:space="preserve">ako wucbny pśedmjat serbšćina a</w:t>
      </w:r>
    </w:p>
    <w:p>
      <w:r>
        <w:t xml:space="preserve">ako cuzorěcna wucba.</w:t>
      </w:r>
    </w:p>
    <w:p>
      <w:r>
        <w:t xml:space="preserve">Wucba w dalšnych pśedmjatach móžo se teke w dolnoserbskej rěcy wótměś.</w:t>
      </w:r>
    </w:p>
    <w:p>
      <w:r>
        <w:t xml:space="preserve">(2) Wucba w serbšćinje móžo se teke ako wuzwólona wucba pórucyś. Wuknice abo wuknik ako teke starjejšej rozsuźiju wó dobrowólnem wobźělenju na zachopjeńku šulskego lěta, rozsuźenje płaśi pśecej za jadno šulske lěto.</w:t>
      </w:r>
    </w:p>
    <w:p>
      <w:r>
        <w:t xml:space="preserve">(3) We wucbje a w zwenkawucbnych pórucenjach dej se źiwaś na rěcne a kulturne nazgónjenja wuknicow a wuknikow.</w:t>
      </w:r>
    </w:p>
    <w:p>
      <w:r>
        <w:t xml:space="preserve">(4) Njejo-li licba wuknjecych jadneje šule wusoka dosć abo njejsu-li na tej šuli žedne wuzamóžnjone ceptaŕki daniž ceptarje k dispoziciji, mógu se wuknice a wukniki na wucbje serbšćiny w drugej šuli wobźěliś.</w:t>
      </w:r>
    </w:p>
    <w:p>
      <w:r>
        <w:t xml:space="preserve">(5) Za šulu zagronity cłonk krajnego kněžaŕstwa a Rada za nastupnosći Serbow wobradujotej na bazy monitoringa w drugem kwartalu kalendaŕskego lěta wó stawje organizacije šulskego lěta za wucbu serbšćiny pó pódstawku 1 w pśiducem lěśe a w stwórtem kwartalu wó běžnem šulskem lěśe.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SWSchulV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https://recht.nulegal.eu/gesetze/SWSchulV/2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