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SWSchulV (Brandenburg) — Powšykne zasady</w:t>
      </w:r>
    </w:p>
    <w:p>
      <w:r>
        <w:rPr>
          <w:color w:val="555555"/>
          <w:sz w:val="18"/>
        </w:rPr>
        <w:t xml:space="preserve">Sorben/Wenden-Schulverordnung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23.08.2026 (konsolidierte Textfassung, kein amtliches Inkrafttretensdatum)</w:t>
      </w:r>
    </w:p>
    <w:p>
      <w:r>
        <w:t xml:space="preserve">(1) Pósrědnjanje a spěchowanje znaśow a rozměśe serbskeje identity, kultury a stawiznow su wósebne nadawki šule. W šulach w starodawnem sedleńskem rumje Serbow we zmysle § 3 pódstawk 2 Serbskeje kazni (starodawny sedleński rum) maju wósebnje serbska rěc, stawizny a kultura se do kubłańskego źěła zapśimjeś.</w:t>
      </w:r>
    </w:p>
    <w:p>
      <w:r>
        <w:t xml:space="preserve">(2) Europska charta regionalnych abo mjeńšynowych rěcow a ramikowe dojadnanje za šćit narodnych mjeńšynow stej zakład rědowanja šulskich kubłańskich nastupnosćow Serbow w Bramborskej.</w:t>
      </w:r>
    </w:p>
    <w:p>
      <w:r>
        <w:t xml:space="preserve">(3) W starodawnem sedleńskem rumje ma se wšyknym wuknicam a wuknikam zmóžniś, aby pó wustajenjach toś togo póstajenja nawuknuli dolnoserbsku rěc a w pśedmjatach, rědowniskich schójźeńkach a lětnikach, kótarež se maju póstajiś, se w dolnoserbskej rěcy rozwucowali. Šule w starodawnem sedleńskem rumje informěruju starjejšych, wuknice a wuknikow zawcasa do zachopjeńka šulskego lěta, w pśizjawjeńskem casu, wó móžnosćach nawuknjenja a woplěwanja dolnoserbskeje rěcy.</w:t>
      </w:r>
    </w:p>
    <w:p>
      <w:r>
        <w:t xml:space="preserve">(4) Šule, kótarež wósebnje se pśiwobrośuju woplěwanju, spěchowanju a pósrědnjanju serbskeje rěcy a kultury a pórucuju dolnoserbske kubłańske pórucenja abo take z dolnoserbšćinu ako jadneju z wjele rěcow, se pśez kraj spěchuju a pódpěruju.</w:t>
      </w:r>
    </w:p>
    <w:p>
      <w:r>
        <w:t xml:space="preserve">(5) Ceptaŕki a ceptarje muse dostaś móžnosć, sebje znaśa dolnoserbskeje rěcy pśiswójś a pódłymiś. Planowanje wu-, do- a dalejkubłanja za ceptaŕki a ceptarjow źiwa na kulturu a stawizny Serbow. Statny šulski amt informěrujo na pśigódnu wašnju wó aktualnych pórucenjach wu-, do- a dalejkubłanja.</w:t>
      </w:r>
    </w:p>
    <w:p>
      <w:r>
        <w:t xml:space="preserve">(6) Płaśe rědowanja danego póstajenja kubłańskego pśeběga, jo-lic w tom póstajenju se nic wótchylajucego njerědujo.</w:t>
      </w:r>
    </w:p>
    <w:p>
      <w:r>
        <w:t xml:space="preserve">(7) Kraj ma w Chóśebuzu Źěłanišćo za serbske kubłańske wuwijanje (ABC). K jogo nadawkam słuše wuźěłanje wucbnych a wuknjeńskich srědkow, wuwijanje ramikowych planow wšyknych lětnikow a dokubłanje ceptaŕkow a ceptarjow za wucbu w pśedmjaśe serbšćina inkluziwnje za to trjebny personal.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SWSchulV (Brandenburg)</w:t>
      </w:r>
    </w:p>
    <w:p>
      <w:r>
        <w:rPr>
          <w:color w:val="555555"/>
          <w:sz w:val="17"/>
        </w:rPr>
        <w:t xml:space="preserve">Quelle: bravors, abgerufen 23.08.2026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https://recht.nulegal.eu/gesetze/SWSchulV/1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