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SWGKostenV (Brandenburg) — Inkrafttreten, Außerkrafttreten</w:t>
      </w:r>
    </w:p>
    <w:p>
      <w:r>
        <w:rPr>
          <w:color w:val="555555"/>
          <w:sz w:val="18"/>
        </w:rPr>
        <w:t xml:space="preserve">SWG-Kostenerstattungsverordnung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tritt am Tag nach der Verkündung in Kraft. Gleichzeitig tritt die Verordnung über die Erstattung des Zusatzaufwandes aus der Anwendung des Sorben/Wenden-Gesetzes vom 25. Oktober 2016 ( GVBl. II Nr. 57) außer Kraft.</w:t>
      </w:r>
    </w:p>
    <w:p>
      <w:r>
        <w:t xml:space="preserve">(2) Diese Verordnung wird auch in niedersorbischer Sprache veröffentlicht.</w:t>
      </w:r>
    </w:p>
    <w:p>
      <w:r>
        <w:t xml:space="preserve">Einzelnorm</w:t>
      </w:r>
    </w:p>
    <w:p>
      <w:r>
        <w:t xml:space="preserve">Potsdam, den 17. September 2020</w:t>
      </w:r>
    </w:p>
    <w:p>
      <w:r>
        <w:t xml:space="preserve">Die Ministerin für Wissenschaft,</w:t>
      </w:r>
    </w:p>
    <w:p>
      <w:r>
        <w:t xml:space="preserve">Forschung und Kultur</w:t>
      </w:r>
    </w:p>
    <w:p>
      <w:r>
        <w:t xml:space="preserve">Dr. Manja Schüle</w:t>
      </w:r>
    </w:p>
    <w:p>
      <w:r>
        <w:t xml:space="preserve">Póstajenje dla zarownanja pśidatnych wudankow z nałožowanja Serbskeje kazni (Skkostyp)</w:t>
      </w:r>
    </w:p>
    <w:p>
      <w:r>
        <w:t xml:space="preserve">wót 17. septembera 2020</w:t>
      </w:r>
    </w:p>
    <w:p>
      <w:r>
        <w:t xml:space="preserve">Na zakłaźe § 13b wótrězka 4 Serbskeje kazni wót 7. julija 1994 (GVBl. I b. 294), kótaryž jo se pśipisał pśez artikel 1 numer 17 kazni wót 11. februara 2014 (GVBl. I nr. 7), póstajijo ministaŕka za wědomnosć, slěźenje a kulturu pó konsultaciji Wuběrka za wědomnosć, slěźenje a kulturu a Rady za nastupnosći Serbow slědujuce:</w:t>
      </w:r>
    </w:p>
    <w:p>
      <w:r>
        <w:rPr>
          <w:color w:val="555555"/>
          <w:sz w:val="17"/>
        </w:rPr>
        <w:t xml:space="preserve">Zitiervorschlag: § 5 SWGKostenV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https://recht.nulegal.eu/gesetze/SWGKostenV/5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